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HUSZÁR</w:t>
            </w:r>
          </w:p>
          <w:p w:rsidR="00C275A3" w:rsidRDefault="00A96AEC" w:rsidP="00C275A3">
            <w:pPr>
              <w:pStyle w:val="Hallgatokepzes"/>
            </w:pPr>
            <w:r>
              <w:t>International Economy and Business</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Udvari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kind of factors may influence the FDI in the hungarian energy sector?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Foreign direct investments enhanced the spreading activities of transnational corporations in the previous decades according to the international literature. However, the motivations of the investments are different, but the investments may have positive effects on the country if it follows appropriate economic policy. But the available literature lacks analyses concerning FDI activities in the energy sector. Thus, this paper aims to answer what kind of factors influence foreign direct investments in the Hungarian energy industry.</w:t>
      </w:r>
      <w:r>
        <w:rPr>
          <w:color w:val="000000"/>
          <w:sz w:val="24"/>
          <w:szCs w:val="24"/>
        </w:rPr>
        <w:br/>
        <w:t xml:space="preserve">Researchers tend to use quantitative techniques for analysing FDI, but qualitative measures should be used as well. Therefore I conducted two-two expert interviews abroad and in Hungary as well. My research is based on Dunning’s eclectic theory and the results of former researches related to this topic. According to the results of the interviews, there are no significant differences between the energy sector and the theories of international literature considering the motives. The inflows of foreign direct investments have been triggered by the privatization processes in the energy industry, which led to the spread of significant managerial knowledge. Later, strategic seeking and efficiency seeking investments started to dominate, which were forced partly by the renewable energy policies. The predictability is the key word in the energy sector relating to the investment decisions, which consists of economic and political issues as well. The inappropriate regulatory framework and negative economic prospects affect negatively the investment decisions and political problems also deter the investors. One of the main characteristics of the sector is the long-period pay-off. In this context the predictability is important and necessary in the case of investments, because the minimum pay-off periods are at least 10-15 years and in some cases 30-40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01577">
    <w:multiLevelType w:val="hybridMultilevel"/>
    <w:lvl w:ilvl="0" w:tplc="84759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01577">
    <w:abstractNumId w:val="50001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290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