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TIBOR ATTILA FELFÖLDI</w:t>
            </w:r>
          </w:p>
          <w:p w:rsidR="00C275A3" w:rsidRDefault="00A96AEC" w:rsidP="00C275A3">
            <w:pPr>
              <w:pStyle w:val="Hallgatokepzes"/>
            </w:pPr>
            <w:r>
              <w:t>Regional and Enviromental Economic Studies MA degree programme</w:t>
            </w:r>
            <w:r>
              <w:br/>
            </w:r>
            <w:r w:rsidR="00E77B23">
              <w:t>MA, 4. semester</w:t>
            </w:r>
          </w:p>
          <w:p w:rsidR="00C265CE" w:rsidRPr="009E5FF1" w:rsidRDefault="00E77B23" w:rsidP="00C275A3">
            <w:pPr>
              <w:pStyle w:val="Hallgatokepzes"/>
              <w:rPr>
                <w:b/>
                <w:caps/>
              </w:rPr>
            </w:pPr>
            <w:r>
              <w:t>University of Szeged</w:t>
            </w:r>
            <w:r w:rsidR="00C275A3">
              <w:br/>
            </w:r>
            <w:r w:rsidR="00DB4822">
              <w:t>Faculty of Economics and Business Administration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György Málovics, Ph. D.</w:t>
            </w:r>
          </w:p>
          <w:p w:rsidR="00DB4822" w:rsidRDefault="00DB4822" w:rsidP="00E11062">
            <w:pPr>
              <w:pStyle w:val="Konzulensek"/>
            </w:pPr>
            <w:r w:rsidRPr="00DB4822">
              <w:t>associate professor, SZTE GTK</w:t>
            </w:r>
          </w:p>
        </w:tc>
      </w:tr>
      <w:tr w:rsidR="00DB4822" w:rsidTr="00DB4822">
        <w:tc>
          <w:tcPr>
            <w:tcW w:w="9854" w:type="dxa"/>
          </w:tcPr>
          <w:p w:rsidR="00DB4822" w:rsidRPr="00DB4822" w:rsidRDefault="00DB4822" w:rsidP="004D7940">
            <w:pPr>
              <w:pStyle w:val="Konzulensek"/>
            </w:pPr>
            <w:r w:rsidRPr="00DB4822">
              <w:t>Péter Kovács, Ph. D.</w:t>
            </w:r>
          </w:p>
          <w:p w:rsidR="00DB4822" w:rsidRDefault="00DB4822" w:rsidP="00E11062">
            <w:pPr>
              <w:pStyle w:val="Konzulensek"/>
            </w:pPr>
            <w:r w:rsidRPr="00DB4822">
              <w:t>associate professor, SZTE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„Has three legs, but still wavers”: A partial examination on the pillars of sustainability based on the hungarian cities and their catchment area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This study has been prepaired with the distinct purpose to gather together the different perspectives regarding the „viability” of the concept of local sustainability, as well as to analyse the relationships between the highly disputed „three legs of sustainability”.</w:t>
      </w:r>
      <w:r>
        <w:rPr>
          <w:color w:val="000000"/>
          <w:sz w:val="24"/>
          <w:szCs w:val="24"/>
        </w:rPr>
        <w:br/>
        <w:t xml:space="preserve">As a theoretical foundation I've used the concept of sustainable cities. By gaining a greater insight in the special literature it became apparent, that besides the cities their catchment area is just as important. Although current discussions about the „pillars of sustainability” concentrate most of all on the ecological „unsustainability” of today’s socio-econimic processes, considering the general absence of available data regarding the ecological footprint measured on the local level, the proper examination of this pillar within the framework of this paper can not be carried out.</w:t>
      </w:r>
      <w:r>
        <w:rPr>
          <w:color w:val="000000"/>
          <w:sz w:val="24"/>
          <w:szCs w:val="24"/>
        </w:rPr>
        <w:br/>
        <w:t xml:space="preserve">Accordingly, the empirical study was primarily conducted in connection with the other two pillars. During my research, I have defined two main objectives. The first focuses on the snapshot-like quantification and evaluation of the relationships between the extractable subdimensions from the widely accepted definition of standard competitiveness – also known as revealed competitiveness – and those of social welfare. The results of these tests actually show the sum of the previous periods balances. Thus the second goal of my research does not only take into calculation these, but also their correlation with the most important development potential indicators having an impact already on a short run. Methodologicaly speaking, this includes correlation-, principal component analyses and Fisher’s transformation.</w:t>
      </w:r>
      <w:r>
        <w:rPr>
          <w:color w:val="000000"/>
          <w:sz w:val="24"/>
          <w:szCs w:val="24"/>
        </w:rPr>
        <w:br/>
        <w:t xml:space="preserve">The results of the empirical analyses carries two important conclusions. First, despite that each of the subdimensions of revealed competitivenesses generaly presents weak correlations with welfare, at the levels of the main dimensions the connection is mostly medium/strong. Second, although short-term development factors – in opposition with revealed competitiveness – show significant correlations with only some parts of welfare, the overall picture implies that these short run efforts towards improving the revelaled competitiveness result in different levels of improvement (weaker or stronger) on welfare as well.</w:t>
      </w:r>
      <w:r>
        <w:rPr>
          <w:color w:val="000000"/>
          <w:sz w:val="24"/>
          <w:szCs w:val="24"/>
        </w:rPr>
        <w:br/>
        <w:t xml:space="preserve">In my opinion, the these results may be useful for the experts in the field, as well as for those interested in the topic.</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374686">
    <w:multiLevelType w:val="hybridMultilevel"/>
    <w:lvl w:ilvl="0" w:tplc="726111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1374686">
    <w:abstractNumId w:val="7137468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5525172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