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KIS</w:t>
            </w:r>
          </w:p>
          <w:p w:rsidR="00C275A3" w:rsidRDefault="00A96AEC" w:rsidP="00C275A3">
            <w:pPr>
              <w:pStyle w:val="Hallgatokepzes"/>
            </w:pPr>
            <w:r>
              <w:t>Agriculture biotechnology</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Horvai-Szabó</w:t>
            </w:r>
          </w:p>
          <w:p w:rsidR="00DB4822" w:rsidRDefault="00DB4822" w:rsidP="00E11062">
            <w:pPr>
              <w:pStyle w:val="Konzulensek"/>
            </w:pPr>
            <w:r w:rsidRPr="00DB4822">
              <w:t>professor, SZIE MKK</w:t>
            </w:r>
          </w:p>
        </w:tc>
      </w:tr>
      <w:tr w:rsidR="00DB4822" w:rsidTr="00DB4822">
        <w:tc>
          <w:tcPr>
            <w:tcW w:w="9854" w:type="dxa"/>
          </w:tcPr>
          <w:p w:rsidR="00DB4822" w:rsidRPr="00DB4822" w:rsidRDefault="00DB4822" w:rsidP="004D7940">
            <w:pPr>
              <w:pStyle w:val="Konzulensek"/>
            </w:pPr>
            <w:r w:rsidRPr="00DB4822">
              <w:t>Dr. Zsuzsanna Bősze</w:t>
            </w:r>
          </w:p>
          <w:p w:rsidR="00DB4822" w:rsidRDefault="00DB4822" w:rsidP="00E11062">
            <w:pPr>
              <w:pStyle w:val="Konzulensek"/>
            </w:pPr>
            <w:r w:rsidRPr="00DB4822">
              <w:t>Scientific advisor,  ABC
</w:t>
            </w:r>
          </w:p>
        </w:tc>
      </w:tr>
      <w:tr w:rsidR="00DB4822" w:rsidTr="00DB4822">
        <w:tc>
          <w:tcPr>
            <w:tcW w:w="9854" w:type="dxa"/>
          </w:tcPr>
          <w:p w:rsidR="00DB4822" w:rsidRPr="00DB4822" w:rsidRDefault="00DB4822" w:rsidP="004D7940">
            <w:pPr>
              <w:pStyle w:val="Konzulensek"/>
            </w:pPr>
            <w:r w:rsidRPr="00DB4822">
              <w:t>Péter Major</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Creation and characterization of a mouse model of cardiac arrhythmia (LQT)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the most common cause of mortality is the sudden death. The Hungarian Society of Cardiology declared that average 70 people die by sudden cardiac death every day. The mortality data as much as lung cancer, breast cancer and AIDS / HIV together.</w:t>
      </w:r>
    </w:p>
    <w:p>
      <w:pPr>
        <w:widowControl w:val="on"/>
        <w:pBdr/>
        <w:spacing w:before="240" w:after="240" w:line="240" w:lineRule="auto"/>
        <w:ind w:left="0" w:right="0"/>
        <w:jc w:val="left"/>
      </w:pPr>
      <w:r>
        <w:rPr>
          <w:color w:val="000000"/>
          <w:sz w:val="24"/>
          <w:szCs w:val="24"/>
        </w:rPr>
        <w:t xml:space="preserve">The membrane potential changes in heart muscle cells are responsible for the development of action potential, which is formed by the movement of ions through the transmembrane ion channels. Between the two sides of the cell membrane the voltage difference forms a dynamic balance, which is called resting membrane potential, and so the membrane surface is in polarized state. The action potential forms when the surface gets depolarized. The ions flow through the ion channels and result the change in voltage on membrane surface. The normal activity of the pacemaker cells of the heart is to spontaneously depolarize at a regular rhythm, generating the normal heart rate. The mutation (G52R) of gene the protein </w:t>
      </w:r>
      <w:r>
        <w:rPr>
          <w:color w:val="000000"/>
          <w:position w:val="-3"/>
          <w:sz w:val="24"/>
          <w:szCs w:val="24"/>
        </w:rPr>
        <w:drawing>
          <wp:inline distT="0" distB="0" distL="0" distR="0">
            <wp:extent cx="115200" cy="136800"/>
            <wp:docPr id="145613" name="name15113a3e82609f" descr="imgtmp_20261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261_int_1.gif"/>
                    <pic:cNvPicPr/>
                  </pic:nvPicPr>
                  <pic:blipFill>
                    <a:blip r:embed="rId15113a3e826061" cstate="print"/>
                    <a:stretch>
                      <a:fillRect/>
                    </a:stretch>
                  </pic:blipFill>
                  <pic:spPr>
                    <a:xfrm>
                      <a:off x="0" y="0"/>
                      <a:ext cx="115200" cy="136800"/>
                    </a:xfrm>
                    <a:prstGeom prst="rect">
                      <a:avLst/>
                    </a:prstGeom>
                    <a:ln w="0">
                      <a:noFill/>
                    </a:ln>
                  </pic:spPr>
                </pic:pic>
              </a:graphicData>
            </a:graphic>
          </wp:inline>
        </w:drawing>
      </w:r>
      <w:r>
        <w:rPr>
          <w:color w:val="000000"/>
          <w:sz w:val="24"/>
          <w:szCs w:val="24"/>
        </w:rPr>
        <w:t xml:space="preserve"> subunit in the potassium ion channel Iks was described in a family with hereditary long QT syndrome. This mutation prolongs repolarization time of the heart muscle cells, the QT of heart rhythm. The G52R is missens mutation, where G to A at position 154 in the KCNE1 gene was identified, which leads to an amino acid substitution of arginine (R) for glycine (G) at position 52.</w:t>
      </w:r>
    </w:p>
    <w:p>
      <w:pPr>
        <w:widowControl w:val="on"/>
        <w:pBdr/>
        <w:spacing w:before="240" w:after="240" w:line="240" w:lineRule="auto"/>
        <w:ind w:left="0" w:right="0"/>
        <w:jc w:val="left"/>
      </w:pPr>
      <w:r>
        <w:rPr>
          <w:color w:val="000000"/>
          <w:sz w:val="24"/>
          <w:szCs w:val="24"/>
        </w:rPr>
        <w:t xml:space="preserve">The aim of our experiments was to create a model in which the human mutant protein is expressed specifically in the mouse heart. Two transgenic lines were created, and in both of them transgene specific mRNA were detected specifically in the myocardium. Our breeding data revealed, that homozygous G52R transgenic mice were not born from the heterozygous parent in the expected Mendelian ratio, so they are not viable. However, the heterozygous mice do not exhibit the typical phenotype LQT syndrome. The aim of my experiments was to genotype embryos from heterozygous parents of both transgenic lines. I should analyze the the transgene copy numbers in the embryos and determine the heterozygous / homozygous ratios. Quantitative PCR analysis revealed that among the analyzed 12.5 days old embryos only 4.5% were homozygous, while the expected ratio was 25% .</w:t>
      </w:r>
    </w:p>
    <w:p>
      <w:pPr>
        <w:widowControl w:val="on"/>
        <w:pBdr/>
        <w:spacing w:before="240" w:after="240" w:line="240" w:lineRule="auto"/>
        <w:ind w:left="0" w:right="0"/>
        <w:jc w:val="left"/>
      </w:pPr>
      <w:r>
        <w:rPr>
          <w:color w:val="000000"/>
          <w:sz w:val="24"/>
          <w:szCs w:val="24"/>
        </w:rPr>
        <w:t xml:space="preserve">My results form the basis for histological examination of the G52R mutant mouse embryos.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61487">
    <w:multiLevelType w:val="hybridMultilevel"/>
    <w:lvl w:ilvl="0" w:tplc="14744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1487">
    <w:abstractNumId w:val="591614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114006" Type="http://schemas.openxmlformats.org/officeDocument/2006/relationships/numbering" Target="numbering.xml"/><Relationship Id="rId15113a3e826061" Type="http://schemas.openxmlformats.org/officeDocument/2006/relationships/image" Target="media/imgrId15113a3e82606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