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DRAGICA BLÁZSEV</w:t>
            </w:r>
          </w:p>
          <w:p w:rsidR="00C275A3" w:rsidRDefault="00A96AEC" w:rsidP="00C275A3">
            <w:pPr>
              <w:pStyle w:val="Hallgatokepzes"/>
            </w:pPr>
            <w:r>
              <w:t>odgajateljski smjer</w:t>
            </w:r>
            <w:r>
              <w:br/>
            </w:r>
            <w:r w:rsidR="00E77B23">
              <w:t>BA, 2.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ÉVA TÖRÖK</w:t>
            </w:r>
          </w:p>
          <w:p w:rsidR="00DB4822" w:rsidRDefault="00C275A3" w:rsidP="004D7940">
            <w:pPr>
              <w:pStyle w:val="Hallgatokepzes"/>
            </w:pPr>
            <w:r>
              <w:t>odgajateljski smjer</w:t>
            </w:r>
            <w:r w:rsidR="00A96AEC">
              <w:br/>
              <w:t>BA, 5. semester</w:t>
            </w:r>
          </w:p>
          <w:p w:rsidR="00DB4822" w:rsidRDefault="00DB4822" w:rsidP="004D7940">
            <w:pPr>
              <w:pStyle w:val="Hallgatointezmeny-kar"/>
            </w:pPr>
            <w:r>
              <w:t>Eötvös József College</w:t>
            </w:r>
          </w:p>
          <w:p w:rsidR="00C265CE" w:rsidRPr="009E5FF1" w:rsidRDefault="00DB4822" w:rsidP="004D7940">
            <w:pPr>
              <w:pStyle w:val="Hallgatointezmeny-kar"/>
              <w:rPr>
                <w:b/>
                <w:caps/>
              </w:rPr>
            </w:pPr>
            <w:r>
              <w:t>Faculty of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Marija Kanižai</w:t>
            </w:r>
          </w:p>
          <w:p w:rsidR="00DB4822" w:rsidRDefault="00DB4822" w:rsidP="00E11062">
            <w:pPr>
              <w:pStyle w:val="Konzulensek"/>
            </w:pPr>
            <w:r w:rsidRPr="00DB4822">
              <w:t>visokoškolska docentica,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Kreativne mogućnosti podučavanja hrvatskog jezika u predškolskoj dobi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Tema naše radnje veže se uz hrvatski dvojezični narodnosni odgoj u vrtićima. Jedna od nas od rođenja živi u hrvatsko-mađarskoj dvojezičnoj obitelji i okolini te je iskusila sve ono što se uz taj bitak veže: sve ono jezično i kulturno bogatstvo što daje pripadnost dvama narodima i kulturama. U isto vrijeme smo iskusile i primijetile da se korištenje narodnosnog jezika gubi, sve manje njih se služi njime u obitelji, jezik ne predaje jedna generacija drugoj na stoljećima ustaljen prirodan način. U tom položaju sve veću ulogu i odgovornost ima vrtić i škola da se jezik u što mlađoj životnoj dobi usvoji. Narodnosna dvojezična vrtićka obuka onda može biti djelotvorna ako dijete dođe u doticaj sa što više narodnosnih sadržaja, ako mu možemo osigurati živu jezičnu sredinu da do novih spoznaja dođe na datom narodnosnom jeziku. Odlično sredstvo za ispunjenje toga cilja je dvojezična narodnosna obuka. Kada se kao studentice spremamo za dvojezična zanimanja u vrtiću sve više puta iskusimo kako malo pomagala ima na hrvatskom jeziku koja bi odgajateljima pomogla da se dobro pripreme za održavanje zanimanja. To nas je natjeralo da izradimo pomoćne materijale, da korisnicima damo ideje kojima se mogu služiti u svome svakidašnjem radu. Prije toga smo, naravno, proučile i jedan dio gradiva koje se veže uz tu temu.</w:t>
      </w:r>
      <w:r>
        <w:rPr>
          <w:color w:val="000000"/>
          <w:sz w:val="24"/>
          <w:szCs w:val="24"/>
        </w:rPr>
        <w:br/>
        <w:t xml:space="preserve">U prvom dijelu naše radnje skicirale smo teme koje se vežu za narodnost i za narodnosno jezično obrazovanje. Navele smo hrvatske etničke skupine koje žive u Mađarskoj, njihovo služenje svojim manjinskim jezikom te osnovne pojmove u vezi sa dvojezičnošću. Zatim slijedi opis iskustva koje smo stekle prilikom posjeta jednom dvojezičnom narodnosnom vrtiću. Nakon toga smo prikazale naš projekt čija je tema jesen gdje obradom tog sadržaja nastojimo pružiti pomoć svima onima koji se time u svome svakidašnjem poslu bave odnosno studentima na praksi. Ima tu hrvatsko-mađarski rječnik s rječničkim blagom navedenog sadržaja, nacrta zanimanja, zbirka pjesama, naslova, ideja i drugih sadržaja sa svrhom pružanja pomoći.</w:t>
      </w:r>
      <w:r>
        <w:rPr>
          <w:color w:val="000000"/>
          <w:sz w:val="24"/>
          <w:szCs w:val="24"/>
        </w:rPr>
        <w:br/>
        <w:t xml:space="preserve">Naš rad je metodičkog karaktera u kojem pružanjem teorijske i praktične pomoći želimo dati pomoćno sredstvo, pomagalo u pripremi za održavanje hrvatskih dvojezičnih zanimanja u vrtićima.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83853">
    <w:multiLevelType w:val="hybridMultilevel"/>
    <w:lvl w:ilvl="0" w:tplc="92538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83853">
    <w:abstractNumId w:val="37383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738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