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RITA FENYVESI</w:t>
            </w:r>
          </w:p>
          <w:p w:rsidR="00C275A3" w:rsidRDefault="00A96AEC" w:rsidP="00C275A3">
            <w:pPr>
              <w:pStyle w:val="Hallgatokepzes"/>
            </w:pPr>
            <w:r>
              <w:t>Fach: Kindergartenpädagogik BA, Fachrichtung Deutsche Nationalitätenkindergärtnerin</w:t>
            </w:r>
            <w:r>
              <w:br/>
            </w:r>
            <w:r w:rsidR="00E77B23">
              <w:t>BA, 2. semester</w:t>
            </w:r>
          </w:p>
          <w:p w:rsidR="00C265CE" w:rsidRPr="009E5FF1" w:rsidRDefault="00E77B23" w:rsidP="00C275A3">
            <w:pPr>
              <w:pStyle w:val="Hallgatokepzes"/>
              <w:rPr>
                <w:b/>
                <w:caps/>
              </w:rPr>
            </w:pPr>
            <w:r>
              <w:t>Eötvös József Hochschule</w:t>
            </w:r>
            <w:r w:rsidR="00C275A3">
              <w:br/>
            </w:r>
            <w:r w:rsidR="00DB4822">
              <w:t>Fakultät für Erziehungswissenschaften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Monika Jäger-Manz PhD</w:t>
            </w:r>
          </w:p>
          <w:p w:rsidR="00DB4822" w:rsidRDefault="00DB4822" w:rsidP="00E11062">
            <w:pPr>
              <w:pStyle w:val="Konzulensek"/>
            </w:pPr>
            <w:r w:rsidRPr="00DB4822">
              <w:t>Dozentin, EJF P</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Mit ungarndeutschen Reimen und Liedern durch das Jahr – Schätze der geistigen Kultur der Ungarndeutschen in der Erziehung an ungarndeutschen Kindergärten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Ich hatte das Ziel, mit Hilfe meiner Arbeit die Kenntnisse der Kleinkinder in verschiedenen Wissenschaftgebieten über Sprache, Geschichte und Volkskunde der Ungarndeutschen zu vertiefen und zu erweitern. So konnte eine CD mit 84 Höraufnahmen und eine Arbeit mit Bildern entstehen.</w:t>
      </w:r>
      <w:r>
        <w:rPr>
          <w:color w:val="000000"/>
          <w:sz w:val="24"/>
          <w:szCs w:val="24"/>
        </w:rPr>
        <w:br/>
        <w:t xml:space="preserve">In der Einführung schreibe ich über mein Ziel und meine Hypothesen im Zusammenhang des Themas.</w:t>
      </w:r>
      <w:r>
        <w:rPr>
          <w:color w:val="000000"/>
          <w:sz w:val="24"/>
          <w:szCs w:val="24"/>
        </w:rPr>
        <w:br/>
        <w:t xml:space="preserve">Im ersten Kapitel handelt es sich um die Sprache, die Funktion der Sprache und weiterhin um das Minderheitengesetz in Ungarn (CLXXIX/2011).</w:t>
      </w:r>
      <w:r>
        <w:rPr>
          <w:color w:val="000000"/>
          <w:sz w:val="24"/>
          <w:szCs w:val="24"/>
        </w:rPr>
        <w:br/>
        <w:t xml:space="preserve">Das zweite Kapitel beschäftigt sich mit den Kompetenzen und der Wichtigkeit des spielerischen Spracherwerbs.</w:t>
      </w:r>
      <w:r>
        <w:rPr>
          <w:color w:val="000000"/>
          <w:sz w:val="24"/>
          <w:szCs w:val="24"/>
        </w:rPr>
        <w:br/>
        <w:t xml:space="preserve">Im dritten Kapitel stelle ich das Lokale Erziehungsprogramm des Villányer Kindergartens unter die Lupe.</w:t>
      </w:r>
      <w:r>
        <w:rPr>
          <w:color w:val="000000"/>
          <w:sz w:val="24"/>
          <w:szCs w:val="24"/>
        </w:rPr>
        <w:br/>
        <w:t xml:space="preserve">Das vierte Kapitel verbirgt die Frage in sich, was man im Kindergarten übermitteln soll: ‘Mundart oder Hochsprache?‘; und versucht eine Antwort zu finden.</w:t>
      </w:r>
      <w:r>
        <w:rPr>
          <w:color w:val="000000"/>
          <w:sz w:val="24"/>
          <w:szCs w:val="24"/>
        </w:rPr>
        <w:br/>
        <w:t xml:space="preserve">Das fünfte Kapitel stellt die Bedingungen meiner Feldarbeit vor.</w:t>
      </w:r>
      <w:r>
        <w:rPr>
          <w:color w:val="000000"/>
          <w:sz w:val="24"/>
          <w:szCs w:val="24"/>
        </w:rPr>
        <w:br/>
        <w:t xml:space="preserve">Das sechste Kapitel stellt eine thematische Einordnung der gesammelten Reime und Lieder dar.</w:t>
      </w:r>
      <w:r>
        <w:rPr>
          <w:color w:val="000000"/>
          <w:sz w:val="24"/>
          <w:szCs w:val="24"/>
        </w:rPr>
        <w:br/>
        <w:t xml:space="preserve">Im siebten Kapitel findet man 12 Beispiele von den gesammelten Reimen und Liedern mit didaktisch-methodischen Bearbeitungsmöglichkeiten sowie zahlreiche spielerische Übungen zur Wortschatzerweiterung und eine Stationenarbeit mit theoretischem Hintergrund.</w:t>
      </w:r>
      <w:r>
        <w:rPr>
          <w:color w:val="000000"/>
          <w:sz w:val="24"/>
          <w:szCs w:val="24"/>
        </w:rPr>
        <w:br/>
        <w:t xml:space="preserve">Am Ende meiner Arbeit schreibe ich eine Zusammenfassung mit einem Ausblick für die Weiterführung der Arbeit in der Zukunft.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011950">
    <w:multiLevelType w:val="hybridMultilevel"/>
    <w:lvl w:ilvl="0" w:tplc="928770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011950">
    <w:abstractNumId w:val="450119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13837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