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ÁRVA</w:t>
            </w:r>
          </w:p>
          <w:p w:rsidR="00C275A3" w:rsidRDefault="00A96AEC" w:rsidP="00C275A3">
            <w:pPr>
              <w:pStyle w:val="Hallgatokepzes"/>
            </w:pPr>
            <w:r>
              <w:t>visual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Aranyi</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impressions II.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topics of my works were given by the infinite inspirations of the landscapes, actually the landscapes of the Körös- torok in Csongrád, that I represent in different methods. I have chosen a classical solution to create to create my artwork " Tájélmények II.”(Environmental impressions II). After the priming I used tempera in different layers and textures to recreate the colour effects of nightfall. Trough loosing the priming in different places, reducing the intensity of colours and by partial use of resolved stains I tried to achieve contrast with the preservation of integrity. My aim was to achieve harmony by the different shades of coloured grey.</w:t>
      </w:r>
      <w:r>
        <w:rPr>
          <w:color w:val="000000"/>
          <w:sz w:val="24"/>
          <w:szCs w:val="24"/>
        </w:rPr>
        <w:br/>
        <w:t xml:space="preserve">On the other hand, I applied a different technique for my other picture titled „Tájélmények I.” (Environmental impressions I.): I inverted the process by using ground coat as a picturesque tool, having broken the classic order in this way. After having applied the elements of the landscape, I laid on the undercoat, then I strew some sand on it before having been completely dry, so it remained on the surface perfectly. After the coalescence of the different layers the elements and shapes evolve, which emit tranquillity despite the temperamental brush-work and the roughness of sand. The two pictures seem to be direct opposites of each other, still they are connected by the common subject, which is the feeling of 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55925">
    <w:multiLevelType w:val="hybridMultilevel"/>
    <w:lvl w:ilvl="0" w:tplc="39601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55925">
    <w:abstractNumId w:val="132559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87403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