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KÁLMÁN</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water of Tisza, 40x65 watercolour, paper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WATER OF TISZA III.</w:t>
      </w:r>
      <w:r>
        <w:rPr>
          <w:color w:val="000000"/>
          <w:sz w:val="24"/>
          <w:szCs w:val="24"/>
        </w:rPr>
        <w:br/>
        <w:t xml:space="preserve">Kálmán Luca</w:t>
      </w:r>
      <w:r>
        <w:rPr>
          <w:color w:val="000000"/>
          <w:sz w:val="24"/>
          <w:szCs w:val="24"/>
        </w:rPr>
        <w:br/>
        <w:t xml:space="preserve">Szegedi Tudományegyetem, Juhász Gyula Pedagógusképző Kar</w:t>
      </w:r>
      <w:r>
        <w:rPr>
          <w:color w:val="000000"/>
          <w:sz w:val="24"/>
          <w:szCs w:val="24"/>
        </w:rPr>
        <w:br/>
        <w:t xml:space="preserve">Visual representation, 5. semester</w:t>
      </w:r>
      <w:r>
        <w:rPr>
          <w:color w:val="000000"/>
          <w:sz w:val="24"/>
          <w:szCs w:val="24"/>
        </w:rPr>
        <w:br/>
        <w:t xml:space="preserve">Aranyi Sándor ny.f.doc.tsm.</w:t>
      </w:r>
    </w:p>
    <w:p>
      <w:pPr>
        <w:pBdr/>
        <w:spacing w:before="240" w:after="240" w:line="240" w:lineRule="auto"/>
        <w:ind w:left="0" w:right="0"/>
        <w:jc w:val="left"/>
      </w:pPr>
      <w:r>
        <w:rPr>
          <w:color w:val="000000"/>
          <w:sz w:val="24"/>
          <w:szCs w:val="24"/>
        </w:rPr>
        <w:t xml:space="preserve">I adressed my piece of work as The water of the river Tisza. This is the 2nd piece of the sequence called Water of the river Tisza. The parameters the followings: size 40x65 cm. Technique: watercolor and paper.</w:t>
      </w:r>
    </w:p>
    <w:p>
      <w:pPr>
        <w:pBdr/>
        <w:spacing w:before="240" w:after="240" w:line="240" w:lineRule="auto"/>
        <w:ind w:left="0" w:right="0"/>
        <w:jc w:val="left"/>
      </w:pPr>
      <w:r>
        <w:rPr>
          <w:color w:val="000000"/>
          <w:sz w:val="24"/>
          <w:szCs w:val="24"/>
        </w:rPr>
        <w:t xml:space="preserve">It is a picture of a landscape whose primary purpose is not to illustrate a concrete piece of the reality we absorb, but to create the visual impression. The landscape is only a starting point, the base os which I used the main features. Obtained a primary role in the imaging of the surface water tükröződés.Célom the mapping of this effect was minimal, simplistic visual tools.</w:t>
      </w:r>
    </w:p>
    <w:p>
      <w:pPr>
        <w:pBdr/>
        <w:spacing w:before="240" w:after="240" w:line="240" w:lineRule="auto"/>
        <w:ind w:left="0" w:right="0"/>
        <w:jc w:val="left"/>
      </w:pPr>
      <w:r>
        <w:rPr>
          <w:color w:val="000000"/>
          <w:sz w:val="24"/>
          <w:szCs w:val="24"/>
        </w:rPr>
        <w:t xml:space="preserve">Gesture-like spots and graphics have not sought outside the storehouse complex charting options. Watercolor, nature, the concept of achieving a perfect choice. The confluent color, dull spots together the scene, imitating the foliage mass, while the advancing graphics break up, diversify the image.</w:t>
      </w:r>
    </w:p>
    <w:p>
      <w:pPr>
        <w:pBdr/>
        <w:spacing w:before="240" w:after="240" w:line="240" w:lineRule="auto"/>
        <w:ind w:left="0" w:right="0"/>
        <w:jc w:val="left"/>
      </w:pPr>
      <w:r>
        <w:rPr>
          <w:color w:val="000000"/>
          <w:sz w:val="24"/>
          <w:szCs w:val="24"/>
        </w:rPr>
        <w:br/>
        <w:t xml:space="preserve">The conflict arising from the oposittion of the bravely treated surface and the little harsh spathes brings the picturesque effect out. The flashing spots here and there vibrate the picture assigning power and strength.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72563">
    <w:multiLevelType w:val="hybridMultilevel"/>
    <w:lvl w:ilvl="0" w:tplc="57636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72563">
    <w:abstractNumId w:val="75272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688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