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KATI</w:t>
            </w:r>
          </w:p>
          <w:p w:rsidR="00C275A3" w:rsidRDefault="00A96AEC" w:rsidP="00C275A3">
            <w:pPr>
              <w:pStyle w:val="Hallgatokepzes"/>
            </w:pPr>
            <w:r>
              <w:t>Hydrobiology MSc</w:t>
            </w:r>
            <w:r>
              <w:br/>
            </w:r>
            <w:r w:rsidR="00E77B23">
              <w:t>MSc, 9.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Erős</w:t>
            </w:r>
          </w:p>
          <w:p w:rsidR="00DB4822" w:rsidRDefault="00DB4822" w:rsidP="00E11062">
            <w:pPr>
              <w:pStyle w:val="Konzulensek"/>
            </w:pPr>
            <w:r w:rsidRPr="00DB4822">
              <w:t>senior research fellow,  Balaton Limnological Institute
Centre for Ecological Research,
Hungarian Academy of Sciences
</w:t>
            </w:r>
          </w:p>
        </w:tc>
      </w:tr>
      <w:tr w:rsidR="00DB4822" w:rsidTr="00DB4822">
        <w:tc>
          <w:tcPr>
            <w:tcW w:w="9854" w:type="dxa"/>
          </w:tcPr>
          <w:p w:rsidR="00DB4822" w:rsidRPr="00DB4822" w:rsidRDefault="00DB4822" w:rsidP="004D7940">
            <w:pPr>
              <w:pStyle w:val="Konzulensek"/>
            </w:pPr>
            <w:r w:rsidRPr="00DB4822">
              <w:t>László Antal</w:t>
            </w:r>
          </w:p>
          <w:p w:rsidR="00DB4822" w:rsidRDefault="00DB4822" w:rsidP="00E11062">
            <w:pPr>
              <w:pStyle w:val="Konzulensek"/>
            </w:pPr>
            <w:r w:rsidRPr="00DB4822">
              <w:t>assistant lecturer, DE TTK</w:t>
            </w:r>
          </w:p>
        </w:tc>
      </w:tr>
      <w:tr w:rsidR="00DB4822" w:rsidTr="00DB4822">
        <w:tc>
          <w:tcPr>
            <w:tcW w:w="9854" w:type="dxa"/>
          </w:tcPr>
          <w:p w:rsidR="00DB4822" w:rsidRPr="00DB4822" w:rsidRDefault="00DB4822" w:rsidP="004D7940">
            <w:pPr>
              <w:pStyle w:val="Konzulensek"/>
            </w:pPr>
            <w:r w:rsidRPr="00DB4822">
              <w:t>Attila Mozsár</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Feeding ecology of the invasive Amur sleeper (Perccottus glenii Dybowski, 1877)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two decades, the invasion of the Amur sleeper (Perccottus glenii) originating from the Far East can be observed in Eastern and Central Europe. Since the Amur sleeper is a non-game fish species, its ecological role is poorly known. The feeding ecology of Amur sleeper was investigated in a lentic (Rakamazi Nagy-morotva), and in a lotic habitat (Lónyai-főcsatorna). Seasonal samples were taken in both study areas in April, July and October 2011.</w:t>
      </w:r>
    </w:p>
    <w:p>
      <w:pPr>
        <w:widowControl w:val="on"/>
        <w:pBdr/>
        <w:spacing w:before="240" w:after="240" w:line="240" w:lineRule="auto"/>
        <w:ind w:left="0" w:right="0"/>
        <w:jc w:val="left"/>
      </w:pPr>
      <w:r>
        <w:rPr>
          <w:color w:val="000000"/>
          <w:sz w:val="24"/>
          <w:szCs w:val="24"/>
        </w:rPr>
        <w:t xml:space="preserve">Chironomids (Chironomidae), dragonflies (Odonata), crustaceans (Crustacea) and mayflies (Ephemeroptera) dominated the diet of Amur sleeper. Neither the body size nor the season and nor the habitat play significant role in the feeding intensity. The diet composition was mainly regulated by the body size that had stronger effect than the habitat and the season. The diet of the smallest size group (under 20mm) of Amur sleeper was characterized by only a few food components: chironomids, mayflies and planctonic crustaceans. The chironomids dominated the diet of the second size group (20-60mm), moreover the dragonflies, mayflies and crustaceans also played important role. The frequency of greater food items as molluscs (Gastropoda) and fish increased with the increasing of the size of Amur sleeper, especially over 60mm, whereas the frequency of chironomids decreased. Comparing the composition of food supply the Amur sleeper showed preference for chironomids almost in all seasons, the mayflies and the dragonflies were also preferred prey items.</w:t>
      </w:r>
    </w:p>
    <w:p>
      <w:pPr>
        <w:widowControl w:val="on"/>
        <w:pBdr/>
        <w:spacing w:before="240" w:after="240" w:line="240" w:lineRule="auto"/>
        <w:ind w:left="0" w:right="0"/>
        <w:jc w:val="left"/>
      </w:pPr>
      <w:r>
        <w:rPr>
          <w:color w:val="000000"/>
          <w:sz w:val="24"/>
          <w:szCs w:val="24"/>
        </w:rPr>
        <w:t xml:space="preserve">Our study shows that the Amur sleeper may influence several levels (compartments) of the aquatic food web, although the species proved to be an especially effective predator of the invertebrate assemblage. Further research is needed to explore how seriously the Amur sleeper invasion influence the organization of freshwater communities, and, due to the species habitat preference and feeding ecology, the populations of some threatened fishes, like the strictly protected European mudminnow (Umbra krameri).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97313">
    <w:multiLevelType w:val="hybridMultilevel"/>
    <w:lvl w:ilvl="0" w:tplc="14016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97313">
    <w:abstractNumId w:val="76697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550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