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FERI DIANA</w:t>
            </w:r>
          </w:p>
          <w:p w:rsidR="00C275A3" w:rsidRDefault="00A96AEC" w:rsidP="00C275A3">
            <w:pPr>
              <w:pStyle w:val="Hallgatokepzes"/>
            </w:pPr>
            <w:r>
              <w:t>Környezettudomány MSc.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Cladocera taxonok eloszlása a vízmélység és makro-vegetáció függvényében rakamazi holtmedrekben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Hazai sekély állóvizeinkben faj- és egyedszám tekintetében az ágascsápú rákok (Cladocera) jelentős</w:t>
      </w:r>
      <w:r>
        <w:rPr>
          <w:color w:val="000000"/>
          <w:sz w:val="24"/>
          <w:szCs w:val="24"/>
        </w:rPr>
        <w:br/>
        <w:t xml:space="preserve">csoportot alkotnak és viszonylag nagy fajszámmal fordulnak elő. A Cladocera fajok – planktonikus és bentikus szervezetek is – recens populációinak vizsgálatával feltárhatjuk a jelenlegi biodiverzitást a taxonómiai és genetikai sokféleség szintjén, és ugyanilyen jellegű kutatást végezhetünk korábbi, évtizedekkel előbb élt populációkra is. Munkánk során vizsgáltuk, hogy az üledékben minőségileg és mennyiségileg is nagyobb számban fordulnak-e elő a Cladocera fajok, mint a vízben illetve, hogy a szűrt és üledékminták egyed és fajszáma megegyezik-e ugyanolyan makrovegetáció esetében. Munkánk során három holtmedret mintáztunk Tokaj-Rakamaz területén. A mintavételezés 2011 augusztusában és szeptemberében történt. Az egyik holtmedernél hat mintavételi helyről vettük a mintákat, eltérő makrovegetációval rendelkező helyeken, a másik holtágnál negy mintavételi helyről, különböző mélységekből. Az utolsó mintavételi helyről csak egy ponton mintáztunk a majdnem egyseges makrovegetáció miatt. A végső értékelések során megállapíthattuk, hogy a mintavételi helyek fajszegénynek bizonyultak, de megállapítható jelentősebb különbség a szűrt és a lágyüledék minták eredményei között, illetve a vízmélység befolyását is megállapíthatjuk.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36492">
    <w:multiLevelType w:val="hybridMultilevel"/>
    <w:lvl w:ilvl="0" w:tplc="95174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36492">
    <w:abstractNumId w:val="60036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11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