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KARAP</w:t>
            </w:r>
          </w:p>
          <w:p w:rsidR="00C275A3" w:rsidRDefault="00A96AEC" w:rsidP="00C275A3">
            <w:pPr>
              <w:pStyle w:val="Hallgatokepzes"/>
            </w:pPr>
            <w:r>
              <w:t>Environmental Studies</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Simon</w:t>
            </w:r>
          </w:p>
          <w:p w:rsidR="00DB4822" w:rsidRDefault="00DB4822" w:rsidP="00E11062">
            <w:pPr>
              <w:pStyle w:val="Konzulensek"/>
            </w:pPr>
            <w:r w:rsidRPr="00DB4822">
              <w:t>assistan profesor, DE TTK</w:t>
            </w:r>
          </w:p>
        </w:tc>
      </w:tr>
      <w:tr w:rsidR="00DB4822" w:rsidTr="00DB4822">
        <w:tc>
          <w:tcPr>
            <w:tcW w:w="9854" w:type="dxa"/>
          </w:tcPr>
          <w:p w:rsidR="00DB4822" w:rsidRPr="00DB4822" w:rsidRDefault="00DB4822" w:rsidP="004D7940">
            <w:pPr>
              <w:pStyle w:val="Konzulensek"/>
            </w:pPr>
            <w:r w:rsidRPr="00DB4822">
              <w:t>István Gyulai</w:t>
            </w:r>
          </w:p>
          <w:p w:rsidR="00DB4822" w:rsidRDefault="00DB4822" w:rsidP="00E11062">
            <w:pPr>
              <w:pStyle w:val="Konzulensek"/>
            </w:pPr>
            <w:r w:rsidRPr="00DB4822">
              <w:t>profesor's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carbonate with two different methods in rivers and oxbow sediments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study we tested, whether there is difference between the loss on ignition (LOI) method and the Scheibler method or not, concerning the examination of the calcium-carbonate content of the sediment. Our other aim was to study the content of calcium-carbonate and the organic matter between the different sampling sites or not. By multiple sampling we collected sediment from oxbows of the river Tisza and Duna, furthermore from the river Duna itself. The high number of the samples was necessary for us to get reliable results. The drying method might have the fault that it could generate errors during the mensuration by vaporizing the water from the clay. To avoid these errors, we firstly examined dry samples on which we made thermic analysation. There were no significant differences between the loss on ignition (LOI) method and the Scheibler method. The sampling sites were well separated from each other by the results of canonical discrimination analysis based on the LOI and calcium-carbonate content. ANOVA analysis showed that there were also significant differences between the sampling sites considering the content of calcium-carbonate and the organic matter. In summary our study demonstrated that both parameters; organic matter and calcium-carbonate content can be used to describe the state of wetlands. The methods are not suggested to be used together, it is better to work with just one of them at a sampling site.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10561">
    <w:multiLevelType w:val="hybridMultilevel"/>
    <w:lvl w:ilvl="0" w:tplc="74946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10561">
    <w:abstractNumId w:val="42010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838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