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KÓKAI</w:t>
            </w:r>
          </w:p>
          <w:p w:rsidR="00C275A3" w:rsidRDefault="00A96AEC" w:rsidP="00C275A3">
            <w:pPr>
              <w:pStyle w:val="Hallgatokepzes"/>
            </w:pPr>
            <w:r>
              <w:t>Hydrobiology (MSc)</w:t>
            </w:r>
            <w:r>
              <w:br/>
            </w:r>
            <w:r w:rsidR="00E77B23">
              <w:t>MSc, 9.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Viktória B-Béres</w:t>
            </w:r>
          </w:p>
          <w:p w:rsidR="00DB4822" w:rsidRDefault="00DB4822" w:rsidP="00E11062">
            <w:pPr>
              <w:pStyle w:val="Konzulensek"/>
            </w:pPr>
            <w:r w:rsidRPr="00DB4822">
              <w:t>Biologist,  Environmental Protection, Nature Conservation and Water Authority, Trans-Tiszanian Region</w:t>
            </w:r>
          </w:p>
        </w:tc>
      </w:tr>
      <w:tr w:rsidR="00DB4822" w:rsidTr="00DB4822">
        <w:tc>
          <w:tcPr>
            <w:tcW w:w="9854" w:type="dxa"/>
          </w:tcPr>
          <w:p w:rsidR="00DB4822" w:rsidRPr="00DB4822" w:rsidRDefault="00DB4822" w:rsidP="004D7940">
            <w:pPr>
              <w:pStyle w:val="Konzulensek"/>
            </w:pPr>
            <w:r w:rsidRPr="00DB4822">
              <w:t>István Bácsi, Ph.D.</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extremely dry weather on diatom assemblages of Sebes-Körös River (Körösszakál)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Diatoms have important role in food web and oxygen production of streams and rivers and of ponds and lakes, such as in the formation of the sediment stabilizing biofilm. Composition of diatom assemblages, the individual number of certain taxa reflects well to the quality of the water body. Exact identification is not possible in every cases (e.g. Gopmphonema parvulum-complex, Achnanthidium minutissimum-complex, Encyonopsis microcephala-complex) by using the light microscopy techniques of nowadays’ practice; yet diatoms is a simpler identifiable group in comparison with other benthic algae, therefore identification of benthic diatoms is the basis of ecological water qualification (European Union Water Framework Directive).</w:t>
      </w:r>
    </w:p>
    <w:p>
      <w:pPr>
        <w:pBdr/>
        <w:spacing w:before="240" w:after="240" w:line="240" w:lineRule="auto"/>
        <w:ind w:left="0" w:right="0"/>
        <w:jc w:val="left"/>
      </w:pPr>
      <w:r>
        <w:rPr>
          <w:color w:val="000000"/>
          <w:sz w:val="24"/>
          <w:szCs w:val="24"/>
        </w:rPr>
        <w:t xml:space="preserve">The composition of diatom assemblages, the ratios of the different algal growth forms are mainly influenced by the availability of nutrients and extent of disturbance. Passy (2007) grouped the diatom genera into three guilds on this basis (low and high profile and motile guilds).</w:t>
      </w:r>
    </w:p>
    <w:p>
      <w:pPr>
        <w:pBdr/>
        <w:spacing w:before="240" w:after="240" w:line="240" w:lineRule="auto"/>
        <w:ind w:left="0" w:right="0"/>
        <w:jc w:val="left"/>
      </w:pPr>
      <w:r>
        <w:rPr>
          <w:color w:val="000000"/>
          <w:sz w:val="24"/>
          <w:szCs w:val="24"/>
        </w:rPr>
        <w:t xml:space="preserve">The aim of our work was to follow the changes of diatom assemblages in Sebes-Körös River, (South-Eastern Hungary) during a vegetation period (from April to September 2012): how the species composition of diatom assemblages reflects to the changes of water discharge, chlorophyll a, total nitrogen (TN), total phosphorous (TP) content and sampling time. Samples were collected from cobbles and submersed macrophytes. Diatom valves were cleaned by the hot hydrogen-peroxide method, naphrax synthetic resin was used for embedding, 1000-1600-fold magnification was used for identification of diatom taxa. There were 130 taxa identified during our work, data were evaluated by canonical correspondence analysis (CCA).</w:t>
      </w:r>
    </w:p>
    <w:p>
      <w:pPr>
        <w:pBdr/>
        <w:spacing w:before="240" w:after="240" w:line="240" w:lineRule="auto"/>
        <w:ind w:left="0" w:right="0"/>
        <w:jc w:val="left"/>
      </w:pPr>
      <w:r>
        <w:rPr>
          <w:color w:val="000000"/>
          <w:sz w:val="24"/>
          <w:szCs w:val="24"/>
        </w:rPr>
        <w:t xml:space="preserve">It can be concluded based on the results, that the species composition of diatom assemblages of Sebes-Körös at Körösszakál was influenced mainly by the changes of water discharge and the strongly correlated changes of TN in the vegetation period of 2012. There were also significant correlations between the changes of the ratio of diatom life-forms and ecological guilds and the changes of water discharge and TN content.</w:t>
      </w:r>
    </w:p>
    <w:p>
      <w:pPr>
        <w:pBdr/>
        <w:spacing w:before="240" w:after="240" w:line="240" w:lineRule="auto"/>
        <w:ind w:left="0" w:right="0"/>
        <w:jc w:val="left"/>
      </w:pPr>
      <w:r>
        <w:rPr>
          <w:color w:val="000000"/>
          <w:sz w:val="24"/>
          <w:szCs w:val="24"/>
        </w:rPr>
        <w:t xml:space="preserve">Complementary analyses using groups of life-forms and guilds based on knowledge of species ecology may help to eliminate the failures arising from the difficulties of light microscopic identification. Thus, it may be possible to give a more complex and more accurate picture about the composition of a given assemblage and the influencing factors.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88605">
    <w:multiLevelType w:val="hybridMultilevel"/>
    <w:lvl w:ilvl="0" w:tplc="421732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88605">
    <w:abstractNumId w:val="386886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46929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