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 OLGA</w:t>
            </w:r>
          </w:p>
          <w:p w:rsidR="00C275A3" w:rsidRDefault="00A96AEC" w:rsidP="00C275A3">
            <w:pPr>
              <w:pStyle w:val="Hallgatokepzes"/>
            </w:pPr>
            <w:r>
              <w:t>Hidrobiológus </w:t>
            </w:r>
            <w:r>
              <w:br/>
            </w:r>
            <w:r w:rsidR="00E77B23">
              <w:t>MSc, 11.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Dévai György</w:t>
            </w:r>
          </w:p>
          <w:p w:rsidR="00DB4822" w:rsidRDefault="00DB4822" w:rsidP="00E11062">
            <w:pPr>
              <w:pStyle w:val="Konzulensek"/>
            </w:pPr>
            <w:r w:rsidRPr="00DB4822">
              <w:t>professor emeritus,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Chalcolestes génusz (KENNEDY, 1920) morfometriai jellemzése két magyarországi imágópopuláció.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Chalcolestes és a Lestes génuszba egyaránt besorolt, s fajként, ill. alfajként is tárgyalt viridis (VAN DER LINDEN, 1825) és parvidens ARTOBOLEVSKII, 1929 taxonok esetében több kérdés is foglalkoztatja az odonatológusokat. Az eddigi irodalmi adatokból és tereptapasztalatokból arra lehet következtetni, hogy Magyarország nyugati és északi peremén a két taxon közül főleg a viridis fordul elő, míg az ország többi részén inkább a parvidens. Mindkét területről előkerülnek azonban inkább a másik taxonhoz sorolható, vagy a kettő közötti átmenetet mutató példányok is.</w:t>
      </w:r>
    </w:p>
    <w:p>
      <w:pPr>
        <w:widowControl w:val="on"/>
        <w:pBdr/>
        <w:spacing w:before="240" w:after="240" w:line="240" w:lineRule="auto"/>
        <w:ind w:left="0" w:right="0"/>
        <w:jc w:val="left"/>
      </w:pPr>
      <w:r>
        <w:rPr>
          <w:color w:val="000000"/>
          <w:sz w:val="24"/>
          <w:szCs w:val="24"/>
        </w:rPr>
        <w:t xml:space="preserve">Munkám során két különböző területről, a Bódva-völgyéből (Tornanádaska) és a Dél-Nyírségből (Debrecen) származó egy-egy populáció 15-15 hím és nőstény egyedének összehasonlító morfometriai elemzését végeztem el. A testalkatbélyegek közül mértük a teljes test- és potrohhosszat, a fejen öt, a lábon kettő, a tor oldalfoltnyúlványán négy, a hímek potrohvégfüggelékein 12, a nőstények potrohvégein pedig hét bélyeget. A szárnyakon mértünk nyolc kijelölt pont között kilenc távolságot, számoltuk három sejtsorban a harántereket és hét sejtsorban a sejteket. Az értékeléshez kanonikus diszkriminanciaanalízist (CDA), főkomponens-analízist (PCA) és klaszteranalízist használtunk.</w:t>
      </w:r>
    </w:p>
    <w:p>
      <w:pPr>
        <w:widowControl w:val="on"/>
        <w:pBdr/>
        <w:spacing w:before="240" w:after="240" w:line="240" w:lineRule="auto"/>
        <w:ind w:left="0" w:right="0"/>
        <w:jc w:val="left"/>
      </w:pPr>
      <w:r>
        <w:rPr>
          <w:color w:val="000000"/>
          <w:sz w:val="24"/>
          <w:szCs w:val="24"/>
        </w:rPr>
        <w:t xml:space="preserve">Az adatsorok összehasonlító értékelésével megállapítható, hogy a vizsgált bélyegek átlagértékei alapján a két populáció a legtöbb esetben jól elkülönül egymástól, de a minimum- és a maximumértékek tekintetében sok bélyegnél átfedés tapasztalható. Ezt a nem teljes mértékű elkülönülést mutatják a klaszteranalízissel kapott eredmények is. A diszkriminanciaanalízis a két populációt mindkét ivarnál és mindegyik bélyegcsoport alapján elég jól elkülönítette egymástól. A testalkatbélyegekre elvégzett főkomponens-analízis azt mutatja, hogy a hímek és a nőstények szórásfelhői közel azonos nagyságúak, átfedésük jelentős, s a hímeknél kisebb mértékű, mint a nőstényeknél. A szárny bélyegeinél a szórásfelhők átfedése közepes, s mértéke a méretek esetében a hímeknél, a sejt- és érszámok esetében pedig a nőstényeknél valamivel kisebb. A tor odalfoltnyúlványának bélyegei esetében csak a hímeknél van csekély mértékű átfedés.</w:t>
      </w:r>
    </w:p>
    <w:p>
      <w:pPr>
        <w:widowControl w:val="on"/>
        <w:pBdr/>
        <w:spacing w:before="240" w:after="240" w:line="240" w:lineRule="auto"/>
        <w:ind w:left="0" w:right="0"/>
        <w:jc w:val="left"/>
      </w:pPr>
      <w:r>
        <w:rPr>
          <w:color w:val="000000"/>
          <w:sz w:val="24"/>
          <w:szCs w:val="24"/>
        </w:rPr>
        <w:t xml:space="preserve">Eredményeimet összegezve megállapítható, hogy a két populáció nem válik el teljesen egymástól, mivel mindkét populációban vannak olyan egyedek, amelyeket nem lehet egyértelműen az ‘a priori’ adottnak vett taxonba besorolni.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30571">
    <w:multiLevelType w:val="hybridMultilevel"/>
    <w:lvl w:ilvl="0" w:tplc="20085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30571">
    <w:abstractNumId w:val="499305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792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