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OLGA KIS</w:t>
            </w:r>
          </w:p>
          <w:p w:rsidR="00C275A3" w:rsidRDefault="00A96AEC" w:rsidP="00C275A3">
            <w:pPr>
              <w:pStyle w:val="Hallgatokepzes"/>
            </w:pPr>
            <w:r>
              <w:t>Hydrobiology</w:t>
            </w:r>
            <w:r>
              <w:br/>
            </w:r>
            <w:r w:rsidR="00E77B23">
              <w:t>MSc, 11.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Dévai</w:t>
            </w:r>
          </w:p>
          <w:p w:rsidR="00DB4822" w:rsidRDefault="00DB4822" w:rsidP="00E11062">
            <w:pPr>
              <w:pStyle w:val="Konzulensek"/>
            </w:pPr>
            <w:r w:rsidRPr="00DB4822">
              <w:t>professor emeritus,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morphometric description of two Hungarian adult populations of the genus Chalcolestes (KENNEDY, 1920)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Many controversial taxonomical issues concern the taxa Chalcolestes viridis (VAN DER LINDEN, 1825) and C. parvidens ARTOBOLEVSKII, 1929. The specific or subspecific rank of the two taxa has not been clarified yet. Based on literary sources and field collections it can be concluded that in the western and northern part of Hungary mainly viridis occurs, while in the rest of the country parvidens seems to be more frequent. However, in both regions individuals of the other taxon and intermediate forms were found.</w:t>
      </w:r>
    </w:p>
    <w:p>
      <w:pPr>
        <w:widowControl w:val="on"/>
        <w:pBdr/>
        <w:spacing w:before="240" w:after="240" w:line="240" w:lineRule="auto"/>
        <w:ind w:left="0" w:right="0"/>
        <w:jc w:val="left"/>
      </w:pPr>
      <w:r>
        <w:rPr>
          <w:color w:val="000000"/>
          <w:sz w:val="24"/>
          <w:szCs w:val="24"/>
        </w:rPr>
        <w:t xml:space="preserve">In this study comparative morphometric analysis was carried out in two different populations [Bódva valley (Tornanádaska) and South Nyírség (Debrecen)]. From both populations 15 male and 15 female adults were measured, respectively. The total body and abdomen length, 5 sizes of the head, 2 sizes of the third right leg, 4 marks of the spur-like marking on the left side of thorax,12 sizes of the male anal appendages, 7 sizes of the female abdomen tip and 8 wing distances were measured. Wing cells in 7 cell rows and cross veins in 3 cell rows were counted. Canonical discriminant analysis, principal component analysis and cluster analysis were performed for evaluation. </w:t>
      </w:r>
    </w:p>
    <w:p>
      <w:pPr>
        <w:widowControl w:val="on"/>
        <w:pBdr/>
        <w:spacing w:before="240" w:after="240" w:line="240" w:lineRule="auto"/>
        <w:ind w:left="0" w:right="0"/>
        <w:jc w:val="left"/>
      </w:pPr>
      <w:r>
        <w:rPr>
          <w:color w:val="000000"/>
          <w:sz w:val="24"/>
          <w:szCs w:val="24"/>
        </w:rPr>
        <w:t xml:space="preserve">According to our results in most cases the means of the morphometric traits of the body were larger in case of the individuals from Debrecen, however individuals from Tornanádaska varied more. Comparative evaluation of the data set showed that in most cases the two populations separated well on the basis of mean values, although in case of some marks they overlapped regarding the minimum- or maximum values. Cluster analysis confirmed this incomplete separation. Discriminant analysis, based on all characteristic traits, separated the two populations fairly well in both sexes. Principal component analysis, based on the body characters, showed that clusters of the males and females were approximately of the same size and their overlaps were significant, yet smaller for the males than for the females. The overlap of clusters for wing traits was moderate; its degree for wing sizes were smaller in case of the males, while for the number of cross veins and the number of cells it was smaller in the females. In case of the spur-like mark there was a small overlap only in males.</w:t>
      </w:r>
    </w:p>
    <w:p>
      <w:pPr>
        <w:widowControl w:val="on"/>
        <w:pBdr/>
        <w:spacing w:before="240" w:after="240" w:line="240" w:lineRule="auto"/>
        <w:ind w:left="0" w:right="0"/>
        <w:jc w:val="left"/>
      </w:pPr>
      <w:r>
        <w:rPr>
          <w:color w:val="000000"/>
          <w:sz w:val="24"/>
          <w:szCs w:val="24"/>
        </w:rPr>
        <w:t xml:space="preserve">In summary, the two populations do not separate totally from each other since there are specimens in both populations which cannot be classified clearly into the pre-defined taxa.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80014">
    <w:multiLevelType w:val="hybridMultilevel"/>
    <w:lvl w:ilvl="0" w:tplc="53343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80014">
    <w:abstractNumId w:val="34880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5453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