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KOVÁCS</w:t>
            </w:r>
          </w:p>
          <w:p w:rsidR="00C275A3" w:rsidRDefault="00A96AEC" w:rsidP="00C275A3">
            <w:pPr>
              <w:pStyle w:val="Hallgatokepzes"/>
            </w:pPr>
            <w:r>
              <w:t>Biology</w:t>
            </w:r>
            <w:r>
              <w:br/>
            </w:r>
            <w:r w:rsidR="00E77B23">
              <w:t>BSc,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RICHÁRD KOVÁSZNAI-OLÁH</w:t>
            </w:r>
          </w:p>
          <w:p w:rsidR="00DB4822" w:rsidRDefault="00C275A3" w:rsidP="004D7940">
            <w:pPr>
              <w:pStyle w:val="Hallgatokepzes"/>
            </w:pPr>
            <w:r>
              <w:t>Biology</w:t>
            </w:r>
            <w:r w:rsidR="00A96AEC">
              <w:br/>
              <w:t>BSc, 3.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 Matus</w:t>
            </w:r>
          </w:p>
          <w:p w:rsidR="00DB4822" w:rsidRDefault="00DB4822" w:rsidP="00E11062">
            <w:pPr>
              <w:pStyle w:val="Konzulensek"/>
            </w:pPr>
            <w:r w:rsidRPr="00DB4822">
              <w:t>reader,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Vegetation and seed bank survey in degraded acidic sandy pasture after two decades of succession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Vegetation, seed bank and soil properties of sandy pasture stands were surveyed in a Nyírség nature reserve subject to mass breeding of geese in early 1990s. Vegetation of five contiguous 4 m</w:t>
      </w:r>
      <w:r>
        <w:rPr>
          <w:color w:val="000000"/>
          <w:position w:val="4"/>
          <w:sz w:val="21"/>
          <w:szCs w:val="21"/>
          <w:vertAlign w:val="superscript"/>
        </w:rPr>
        <w:t xml:space="preserve">2</w:t>
      </w:r>
      <w:r>
        <w:rPr>
          <w:color w:val="000000"/>
          <w:sz w:val="24"/>
          <w:szCs w:val="24"/>
        </w:rPr>
        <w:t xml:space="preserve"> sized permanent plots was surveyed three times in 2012. Soil seed banks were sampled in the same spring. Soil cores were divided into two vertical segments, concentrated then germinated on sterilized soil. Undetermined seedlings were transplanted and grown outdoor. Additional soil cores were sampled then analyzed for pH, humus, P, K as well as NO</w:t>
      </w:r>
      <w:r>
        <w:rPr>
          <w:color w:val="000000"/>
          <w:position w:val="-4"/>
          <w:sz w:val="21"/>
          <w:szCs w:val="21"/>
          <w:vertAlign w:val="subscript"/>
        </w:rPr>
        <w:t xml:space="preserve">3</w:t>
      </w:r>
      <w:r>
        <w:rPr>
          <w:color w:val="000000"/>
          <w:sz w:val="24"/>
          <w:szCs w:val="24"/>
        </w:rPr>
        <w:t xml:space="preserve">-NO</w:t>
      </w:r>
      <w:r>
        <w:rPr>
          <w:color w:val="000000"/>
          <w:position w:val="-4"/>
          <w:sz w:val="21"/>
          <w:szCs w:val="21"/>
          <w:vertAlign w:val="subscript"/>
        </w:rPr>
        <w:t xml:space="preserve">2</w:t>
      </w:r>
      <w:r>
        <w:rPr>
          <w:color w:val="000000"/>
          <w:sz w:val="24"/>
          <w:szCs w:val="24"/>
        </w:rPr>
        <w:t xml:space="preserve"> contens. Results were compared with those of a similar survey in 2002.</w:t>
      </w:r>
      <w:r>
        <w:rPr>
          <w:color w:val="000000"/>
          <w:sz w:val="24"/>
          <w:szCs w:val="24"/>
        </w:rPr>
        <w:br/>
        <w:t xml:space="preserve">In the last 10 yrs of succession we assumed 1) increasing species richness of aboveground vegetation and fall both in species richness and density of seed bank and 2) a compositional shift both of vegetation and seed bank from weedy species to natural grasslands.</w:t>
      </w:r>
      <w:r>
        <w:rPr>
          <w:color w:val="000000"/>
          <w:sz w:val="24"/>
          <w:szCs w:val="24"/>
        </w:rPr>
        <w:br/>
        <w:t xml:space="preserve">Humus and pH values equalized while light rise in K and NO</w:t>
      </w:r>
      <w:r>
        <w:rPr>
          <w:color w:val="000000"/>
          <w:position w:val="-4"/>
          <w:sz w:val="21"/>
          <w:szCs w:val="21"/>
          <w:vertAlign w:val="subscript"/>
        </w:rPr>
        <w:t xml:space="preserve">3</w:t>
      </w:r>
      <w:r>
        <w:rPr>
          <w:color w:val="000000"/>
          <w:sz w:val="24"/>
          <w:szCs w:val="24"/>
        </w:rPr>
        <w:t xml:space="preserve">-NO</w:t>
      </w:r>
      <w:r>
        <w:rPr>
          <w:color w:val="000000"/>
          <w:position w:val="-4"/>
          <w:sz w:val="21"/>
          <w:szCs w:val="21"/>
          <w:vertAlign w:val="subscript"/>
        </w:rPr>
        <w:t xml:space="preserve">2</w:t>
      </w:r>
      <w:r>
        <w:rPr>
          <w:color w:val="000000"/>
          <w:sz w:val="24"/>
          <w:szCs w:val="24"/>
        </w:rPr>
        <w:t xml:space="preserve"> content was detected but scores of these parameters lie in or close to the intact grassland stands. Contrary, P content is decreased very slowly and still is at highs. Its levels still greatly excede those measured in traditionally managed grasslands in the region.</w:t>
      </w:r>
      <w:r>
        <w:rPr>
          <w:color w:val="000000"/>
          <w:sz w:val="24"/>
          <w:szCs w:val="24"/>
        </w:rPr>
        <w:br/>
        <w:t xml:space="preserve">Vegetation was and still is dominated by the perennial grasses Cynodon dactylon and Festuca pseudovina. Poa angustifolia and Calamagrostis epigeios were also frequent. Though vegetation composition has only change moderately at sampling blocks (20 m</w:t>
      </w:r>
      <w:r>
        <w:rPr>
          <w:color w:val="000000"/>
          <w:position w:val="4"/>
          <w:sz w:val="21"/>
          <w:szCs w:val="21"/>
          <w:vertAlign w:val="superscript"/>
        </w:rPr>
        <w:t xml:space="preserve">2</w:t>
      </w:r>
      <w:r>
        <w:rPr>
          <w:color w:val="000000"/>
          <w:sz w:val="24"/>
          <w:szCs w:val="24"/>
        </w:rPr>
        <w:t xml:space="preserve">), Jaccard similarity of 2002 and 2012 vegetation in plots (4 m</w:t>
      </w:r>
      <w:r>
        <w:rPr>
          <w:color w:val="000000"/>
          <w:position w:val="4"/>
          <w:sz w:val="21"/>
          <w:szCs w:val="21"/>
          <w:vertAlign w:val="superscript"/>
        </w:rPr>
        <w:t xml:space="preserve">2</w:t>
      </w:r>
      <w:r>
        <w:rPr>
          <w:color w:val="000000"/>
          <w:sz w:val="24"/>
          <w:szCs w:val="24"/>
        </w:rPr>
        <w:t xml:space="preserve">) proved low to medium. A reason for this can be a drough in 2012 which limited the presence of annual species. Changes of species richness of aboveground vegetation proved contradictory (grown in some blocks, decreased in others). Both seed bank species richness and seed density usually decreased since 2002. Some weedy species became less frequent and dense in or even vanished from soil seed banks. The same holds for hygrophyte species. A limited number of new grassland species became established in the seed bank. Jaccard similarities between vegetation and seed banks declined since 2002 suggesting an increasing discrepancy during secondary succession.</w:t>
      </w:r>
      <w:r>
        <w:rPr>
          <w:color w:val="000000"/>
          <w:sz w:val="24"/>
          <w:szCs w:val="24"/>
        </w:rPr>
        <w:br/>
        <w:t xml:space="preserve">The length of regeneration was proved to exceed two decades with slow shift of soil conditions and a limited change of composition and dominance of aboveground vegetation and soil seed bank. If traditional management be maintained, the studied stands are likely to get closer to undisturbed grasslands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79399">
    <w:multiLevelType w:val="hybridMultilevel"/>
    <w:lvl w:ilvl="0" w:tplc="90792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79399">
    <w:abstractNumId w:val="46379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03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