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JÁMBOR</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Matus</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dr. Márta M. Hamvas</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Histological studies to determine diagnostical characters of Juncus compressus and Juncus gerardii for delimitation of herbarial specimens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typical stuborn problem of soil seed bank analysis lies of monocots, especially in Poaceae, Cyperaceae and Juncaceae. Members of these taxa are very similar morphologically. There are only a few morphological characteristics distinguishing them especially in Juncus compressus and J. gerardii the transplants of which develop very slowly. Some of traditional morphological features for example the ratios of lengthes of petals/capsule, stamen/anther, stigma/ovary, or ensign leaf/inflorescence are uncertain or hardly estimated. Neither the existence of flattened stem nor the intercellular spaces in the leaf of pressed and dried herbarium specimens can be tested.</w:t>
      </w:r>
    </w:p>
    <w:p>
      <w:pPr>
        <w:pBdr/>
        <w:spacing w:before="240" w:after="240" w:line="240" w:lineRule="auto"/>
        <w:ind w:left="0" w:right="0"/>
        <w:jc w:val="left"/>
      </w:pPr>
      <w:r>
        <w:rPr>
          <w:color w:val="000000"/>
          <w:sz w:val="24"/>
          <w:szCs w:val="24"/>
        </w:rPr>
        <w:t xml:space="preserve">Histological studies were carried out on the leaves of J. compressus and J. gerardii with the view to determine those characters, which could be diagnostic for the delimitation of these species. Histology of living specimens ( i) grown from soil seed banks then cultivated in botanic garden and ii) ones collected from the field in 2012) as well as herbarium specimens from lowlands of the Eupannonicum (1923-1963) was analyzed.</w:t>
      </w:r>
    </w:p>
    <w:p>
      <w:pPr>
        <w:pBdr/>
        <w:spacing w:before="240" w:after="240" w:line="240" w:lineRule="auto"/>
        <w:ind w:left="0" w:right="0"/>
        <w:jc w:val="left"/>
      </w:pPr>
      <w:r>
        <w:rPr>
          <w:color w:val="000000"/>
          <w:sz w:val="24"/>
          <w:szCs w:val="24"/>
        </w:rPr>
        <w:t xml:space="preserve">Bulliform cells and sclerenchyma fibres form a girder linking bundle sheat and abaxial surface in transverse sections of leaf blades were shown to have taxonomic importance. We used the mean of these cells per specimens (five replicates per specimen) for statistical analysis.</w:t>
      </w:r>
    </w:p>
    <w:p>
      <w:pPr>
        <w:pBdr/>
        <w:spacing w:before="240" w:after="240" w:line="240" w:lineRule="auto"/>
        <w:ind w:left="0" w:right="0"/>
        <w:jc w:val="left"/>
      </w:pPr>
      <w:r>
        <w:rPr>
          <w:color w:val="000000"/>
          <w:sz w:val="24"/>
          <w:szCs w:val="24"/>
        </w:rPr>
        <w:t xml:space="preserve">The specimens of herbarial collection were classified into five categories according to their phenological state. Only the plants with mature closed fruits without stigma could be well identified.</w:t>
      </w:r>
    </w:p>
    <w:p>
      <w:pPr>
        <w:pBdr/>
        <w:spacing w:before="240" w:after="240" w:line="240" w:lineRule="auto"/>
        <w:ind w:left="0" w:right="0"/>
        <w:jc w:val="left"/>
      </w:pPr>
      <w:r>
        <w:rPr>
          <w:color w:val="000000"/>
          <w:sz w:val="24"/>
          <w:szCs w:val="24"/>
        </w:rPr>
        <w:t xml:space="preserve">In case of the specimens we were unable to identify by classical morfological features (having immature or overmature fruits) the number of bulliform cells were investigated, because this trait showed the smallest overlap between the two species. We use at least two histological traits which enable identification more precisely than ever before.</w:t>
      </w:r>
    </w:p>
    <w:p>
      <w:pPr>
        <w:pBdr/>
        <w:spacing w:before="240" w:after="240" w:line="240" w:lineRule="auto"/>
        <w:ind w:left="0" w:right="0"/>
        <w:jc w:val="left"/>
      </w:pPr>
      <w:r>
        <w:rPr>
          <w:color w:val="000000"/>
          <w:sz w:val="24"/>
          <w:szCs w:val="24"/>
        </w:rPr>
        <w:t xml:space="preserve">The bulliform cell number was proved to show stable though overlapping differences, whereas sclerenchyma girder represent rather a tendency then discrimination because of its missing in some specimen. Revision of the herbarial collection can be improved even if a full identification is not always guaranteed.</w:t>
      </w:r>
    </w:p>
    <w:p>
      <w:pPr>
        <w:pBdr/>
        <w:spacing w:before="240" w:after="240" w:line="240" w:lineRule="auto"/>
        <w:ind w:left="0" w:right="0"/>
        <w:jc w:val="left"/>
      </w:pPr>
      <w:r>
        <w:rPr>
          <w:color w:val="000000"/>
          <w:sz w:val="24"/>
          <w:szCs w:val="24"/>
        </w:rPr>
        <w:t xml:space="preserve">In this study we use the results of our leaf histological investigations to show the taxonomic importance of the morphology and anatomy of this less studied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16595">
    <w:multiLevelType w:val="hybridMultilevel"/>
    <w:lvl w:ilvl="0" w:tplc="8650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16595">
    <w:abstractNumId w:val="22016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44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