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KISS</w:t>
            </w:r>
          </w:p>
          <w:p w:rsidR="00C275A3" w:rsidRDefault="00A96AEC" w:rsidP="00C275A3">
            <w:pPr>
              <w:pStyle w:val="Hallgatokepzes"/>
            </w:pPr>
            <w:r>
              <w:t>Biochemical engineer</w:t>
            </w:r>
            <w:r>
              <w:br/>
            </w:r>
            <w:r w:rsidR="00E77B23">
              <w:t>MSc, 2.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Pócsi</w:t>
            </w:r>
          </w:p>
          <w:p w:rsidR="00DB4822" w:rsidRDefault="00DB4822" w:rsidP="00E11062">
            <w:pPr>
              <w:pStyle w:val="Konzulensek"/>
            </w:pPr>
            <w:r w:rsidRPr="00DB4822">
              <w:t>professor, DE TTK</w:t>
            </w:r>
          </w:p>
        </w:tc>
      </w:tr>
      <w:tr w:rsidR="00DB4822" w:rsidTr="00DB4822">
        <w:tc>
          <w:tcPr>
            <w:tcW w:w="9854" w:type="dxa"/>
          </w:tcPr>
          <w:p w:rsidR="00DB4822" w:rsidRPr="00DB4822" w:rsidRDefault="00DB4822" w:rsidP="004D7940">
            <w:pPr>
              <w:pStyle w:val="Konzulensek"/>
            </w:pPr>
            <w:r w:rsidRPr="00DB4822">
              <w:t>Ágnes Jakab</w:t>
            </w:r>
          </w:p>
          <w:p w:rsidR="00DB4822" w:rsidRDefault="00DB4822" w:rsidP="00E11062">
            <w:pPr>
              <w:pStyle w:val="Konzulensek"/>
            </w:pPr>
            <w:r w:rsidRPr="00DB4822">
              <w:t>PhD student,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Morphological transitions of Candida albicans represent no alternative to environmental stress response</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During my work we examined the opportunistic pathogen Candida albicans parental and tert-butyl-hydroperoxide (tBOOH) tolerant mutant strains to ascertain the connection between stress-elicited yeast → pseudohyphae/ hyphae (Y → PH / H) morphological changes and the environmental stress response (ESR). Our former results indicate that a selection of oxidative stress tolerant C. albicans mutants showed clear-cut cross-tolerances to 20 different types of stress, which supports the existence of ESR.</w:t>
      </w:r>
      <w:r>
        <w:rPr>
          <w:color w:val="000000"/>
          <w:sz w:val="24"/>
          <w:szCs w:val="24"/>
        </w:rPr>
        <w:br/>
        <w:t xml:space="preserve">In these experiments the yeast was exposed to numerous of stresses which the fungi can meet outside or inside the host organization. Therefore, the C. albicans strains were subjected to the following stresses: oxidative, osmotic, heavy metal, Unfolded Protein Response (UPR), cell wall, cell membrane, heat, cold, and pH stress generating agents.</w:t>
      </w:r>
      <w:r>
        <w:rPr>
          <w:color w:val="000000"/>
          <w:sz w:val="24"/>
          <w:szCs w:val="24"/>
        </w:rPr>
        <w:br/>
        <w:t xml:space="preserve">Applying the stressors, C. albicans strains were characterized by low rate of glucose consumption, so there is no connection between the morphological changes and the entry into stationary phase. In cultures with no stress generating agent, only yeast cells were observed; while in other cases different stressors triggered the Y→ PH/H morphological changes, therefore this phenomenon is not regarded as a general stress response.</w:t>
      </w:r>
      <w:r>
        <w:rPr>
          <w:color w:val="000000"/>
          <w:sz w:val="24"/>
          <w:szCs w:val="24"/>
        </w:rPr>
        <w:br/>
        <w:t xml:space="preserve">So the previous hypothesis, that the fungi answers with morphological change to environmental stress instead using ESR is not relevant (Gasch, 2007). As the summarized results show in this paper, C. albicans cells may answer to environmental stress by initiating morphological switches but this is conditional and definitely not an alternative to ESR.</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07182">
    <w:multiLevelType w:val="hybridMultilevel"/>
    <w:lvl w:ilvl="0" w:tplc="78613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07182">
    <w:abstractNumId w:val="45107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931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