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VERONIKA BODA</w:t>
            </w:r>
          </w:p>
          <w:p w:rsidR="00C275A3" w:rsidRDefault="00A96AEC" w:rsidP="00C275A3">
            <w:pPr>
              <w:pStyle w:val="Hallgatokepzes"/>
            </w:pPr>
            <w:r>
              <w:t>Visual Representation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Alajos Eszik</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My Midsummer Night's dream 50x35 etching and aquaink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My work, the My Midsummer Night's Dream was made with my favorite graphic techniques. The aquaink and the etching, with these techniques I can stress the lines and tones of the image best. For me the lines are very important, because that's the way I can create space and shapes. Both the title and contents might make my drawing look like an illustration, but for me Shakespeare's work was actually just inspiration. In literal aspects, Émile Zola's ’La Bête humaine’ stands closer to my art work. The human properties originate from animal instincts, and since humans carry their feelings on their faces, so can their habits stand out, which happens in dreams most spectacularly. The grey spots, starfalling and the blending bodies can happen on a troubled summer twilight dream in my world.</w:t>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45675">
    <w:multiLevelType w:val="hybridMultilevel"/>
    <w:lvl w:ilvl="0" w:tplc="96569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45675">
    <w:abstractNumId w:val="161456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4636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