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SÜTŐ</w:t>
            </w:r>
          </w:p>
          <w:p w:rsidR="00C275A3" w:rsidRDefault="00A96AEC" w:rsidP="00C275A3">
            <w:pPr>
              <w:pStyle w:val="Hallgatokepzes"/>
            </w:pPr>
            <w:r>
              <w:t>Business Economics and Management</w:t>
            </w:r>
            <w:r>
              <w:br/>
            </w:r>
            <w:r w:rsidR="00E77B23">
              <w:t>BA, 5. semester</w:t>
            </w:r>
          </w:p>
          <w:p w:rsidR="00C265CE" w:rsidRPr="009E5FF1" w:rsidRDefault="00E77B23" w:rsidP="00C275A3">
            <w:pPr>
              <w:pStyle w:val="Hallgatokepzes"/>
              <w:rPr>
                <w:b/>
                <w:caps/>
              </w:rPr>
            </w:pPr>
            <w:r>
              <w:t>College of Nyíregyháza</w:t>
            </w:r>
            <w:r w:rsidR="00C275A3">
              <w:br/>
            </w:r>
            <w:r w:rsidR="00DB4822">
              <w:t>Faculty of Economics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Ignác Szénás</w:t>
            </w:r>
          </w:p>
          <w:p w:rsidR="00DB4822" w:rsidRDefault="00DB4822" w:rsidP="00E11062">
            <w:pPr>
              <w:pStyle w:val="Konzulensek"/>
            </w:pPr>
            <w:r w:rsidRPr="00DB4822">
              <w:t>professor, NYF GTK</w:t>
            </w:r>
          </w:p>
        </w:tc>
      </w:tr>
      <w:tr w:rsidR="00DB4822" w:rsidTr="00DB4822">
        <w:tc>
          <w:tcPr>
            <w:tcW w:w="9854" w:type="dxa"/>
          </w:tcPr>
          <w:p w:rsidR="00DB4822" w:rsidRPr="00DB4822" w:rsidRDefault="00DB4822" w:rsidP="004D7940">
            <w:pPr>
              <w:pStyle w:val="Konzulensek"/>
            </w:pPr>
            <w:r w:rsidRPr="00DB4822">
              <w:t>Dr. Miklós Galó</w:t>
            </w:r>
          </w:p>
          <w:p w:rsidR="00DB4822" w:rsidRDefault="00DB4822" w:rsidP="00E11062">
            <w:pPr>
              <w:pStyle w:val="Konzulensek"/>
            </w:pPr>
            <w:r w:rsidRPr="00DB4822">
              <w:t>professor, NYF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Outsourcing as a management paradigm, Transcarpathia from the aspect of outsourcing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divided my paper into two parts. In the first part I deal with mapping the theoretical background of outsourcing. In the first part of the paper my aim was to show outsourcing, the winning technique of the last 15-20 years, the cutting edge of the global development from the point of view of management.</w:t>
      </w:r>
      <w:r>
        <w:rPr>
          <w:color w:val="000000"/>
          <w:sz w:val="24"/>
          <w:szCs w:val="24"/>
        </w:rPr>
        <w:br/>
        <w:t xml:space="preserve">In the second part of my paper I examine Transcarpathia from the point of view of outsourcing. The necessary information was collected from the Transcarpathian Tax Office, the Transcarpathian Customs House, the Transcarpathian Energetics Company the Transcarpathian Gas Company and the Ukrainian National Library online. With the help of these data I analyse the tax system, the custom procedure, the price of the energy sources and the labour force. I also touch upon the questions of the registration of companies and the entrepreneurs’ milieu. The formation of the foreign capital from 2006 to 2011 is touched upon in this part of the paper. I examine the Special Economical Area that functioned between 1998 and 2005 and its advantages. A possibility of a joint Hungarian-Ukrainian regional development, i.e. establishing a common industrial park is mentioned. The main aim of this part of my paper is to find an answer for the question: what is worth outsourcing to Transcarpathia.</w:t>
      </w:r>
      <w:r>
        <w:rPr>
          <w:color w:val="000000"/>
          <w:sz w:val="24"/>
          <w:szCs w:val="24"/>
        </w:rPr>
        <w:br/>
        <w:t xml:space="preserve">The main income of Transcarpathia comes from the taxes of outsourced companies that also profit from the favourable tax conditions, maintenance expenditure and cheap labour force. This shows that the primary conditions for outsourcing aiming to Transcarpathia and the investigation of the working capital are given.</w:t>
      </w:r>
      <w:r>
        <w:rPr>
          <w:color w:val="000000"/>
          <w:sz w:val="24"/>
          <w:szCs w:val="24"/>
        </w:rPr>
        <w:br/>
        <w:t xml:space="preserve">To my mind, the answers for the question how to encourage more companies to invest in Transcarpathia are connected with developing the infrastructure and higher educational establishments as well as training human resources. In addition, providing favourable tax and customs preferences for foreign investors as it used to be in case of the Transcarpathian Special Economical Area would also encourage investments. Furthermore, I find it important to establish a joint Hungarian-Ukrainian industrial park that would provide workplaces and promote economic and industrial development of Transcarpathia lying on the peripheries of the country and thus being economically underdeveloped.</w:t>
      </w:r>
      <w:r>
        <w:rPr>
          <w:color w:val="000000"/>
          <w:sz w:val="24"/>
          <w:szCs w:val="24"/>
        </w:rPr>
        <w:br/>
        <w:t xml:space="preserve">Thus, I see outsourcing as a part of involving foreign capital to be a possibility of economic development of Transcarpathia.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18813">
    <w:multiLevelType w:val="hybridMultilevel"/>
    <w:lvl w:ilvl="0" w:tplc="36592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18813">
    <w:abstractNumId w:val="77018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052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