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SZABINA</w:t>
            </w:r>
          </w:p>
          <w:p w:rsidR="00C275A3" w:rsidRDefault="00A96AEC" w:rsidP="00C275A3">
            <w:pPr>
              <w:pStyle w:val="Hallgatokepzes"/>
            </w:pPr>
            <w:r>
              <w:t>Gazdálkodási és menedzsment</w:t>
            </w:r>
            <w:r>
              <w:br/>
            </w:r>
            <w:r w:rsidR="00E77B23">
              <w:t>BA, 3. félév</w:t>
            </w:r>
          </w:p>
          <w:p w:rsidR="00C265CE" w:rsidRPr="009E5FF1" w:rsidRDefault="00E77B23" w:rsidP="00C275A3">
            <w:pPr>
              <w:pStyle w:val="Hallgatokepzes"/>
              <w:rPr>
                <w:b/>
                <w:caps/>
              </w:rPr>
            </w:pPr>
            <w:r>
              <w:t>Nyíregyházi Főiskola</w:t>
            </w:r>
            <w:r w:rsidR="00C275A3">
              <w:br/>
            </w:r>
            <w:r w:rsidR="00DB4822">
              <w:t>Gazdasági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Kósáné dr. Bilanics Ágnes</w:t>
            </w:r>
          </w:p>
          <w:p w:rsidR="00DB4822" w:rsidRDefault="00DB4822" w:rsidP="00E11062">
            <w:pPr>
              <w:pStyle w:val="Konzulensek"/>
            </w:pPr>
            <w:r w:rsidRPr="00DB4822">
              <w:t>főiskolai docens, NYF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„Lehet cukrászdám Bécsben” avagy a vállalkozásalapítás lehetőségei az Európai Unióban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Valószínűleg sokak úgy érzik, hogy már valahol találkoztak dolgozatom címével. Igazuk van, ez a még ma is aktuális gondolat az Európai Unióhoz való csatlakozásunkkor hangzott el. Saját vállalkozás indítása – lehet nagyon izgalmas, ugyanakkor kihívásokkal és nehézségekkel teli feladat is. Ahhoz, hogy a vállalkozás sikeres legyen, fontos, hogy átgondoljuk – mibe is vágunk bele. Elengedhetetlen az alapos felkészülés, az átgondolt tervezés ahhoz, hogy egy jó ötletet aztán jövedelmező vállalkozássá tegyünk.</w:t>
      </w:r>
    </w:p>
    <w:p>
      <w:pPr>
        <w:pBdr/>
        <w:spacing w:before="240" w:after="240" w:line="240" w:lineRule="auto"/>
        <w:ind w:left="0" w:right="0"/>
        <w:jc w:val="left"/>
      </w:pPr>
      <w:r>
        <w:rPr>
          <w:color w:val="000000"/>
          <w:sz w:val="24"/>
          <w:szCs w:val="24"/>
        </w:rPr>
        <w:t xml:space="preserve">Témaválasztásom oka, hogy az adott gazdasági helyzetben, sokakat foglalkoztat a gondolat, hogy függetlenedni, önállósulni kellene és többen vannak, akik úgy gondolják, hogy külföldön lenne érdemes ezt megpróbálni. Az EU által biztosított tőke és munkaerő szabad áramlása révén ez ma viszonylag könnyebben megvalósítható, mint a csatlakozást megelőző időszakban. Ugyanakkor valamely tagállamban való munkavállalás vagy vállalatalapítás révén felvetődik a kérdés, hogy az itthon megszerzett szakképesítés mennyit ér külföldön. Ehhez szükséges, hogy megfelelő információval rendelkezünk arról, hogy milyen oktatási és képzési politikát valamint foglalkoztatáspolitikát alkalmaz az EU, kik vehetnek részt benne, és milyen eredményeik vannak. Dolgozatom első részében szeretném fontos tisztázni, hogy mi a vállalkozás és ki lehet vállalkozó? Milyen külső és belső tényezőket kell figyelembe venni a vállalkozás alapításakor, milyen módszerrel lehet ezeket elemezni. A dolgozat elkészítésekor azt feltételeztem, hogy az EU-s jogharmonizáció révén ugyanazokkal a feltételekkel lehet vállalkozást alapítani minden tagállamban. Vizsgálataimban az alábbi kérdésekre kerestem a válaszokat:</w:t>
      </w:r>
    </w:p>
    <w:p>
      <w:pPr>
        <w:pStyle w:val="ListParagraphPHPDOCX"/>
        <w:numPr>
          <w:ilvl w:val="0"/>
          <w:numId w:val="44972720"/>
        </w:numPr>
        <w:spacing w:before="0" w:after="0" w:line="240" w:lineRule="auto"/>
        <w:contextualSpacing/>
        <w:jc w:val="left"/>
        <w:rPr>
          <w:sz w:val="24"/>
          <w:szCs w:val="24"/>
        </w:rPr>
      </w:pPr>
      <w:r>
        <w:rPr>
          <w:color w:val="000000"/>
          <w:sz w:val="24"/>
          <w:szCs w:val="24"/>
        </w:rPr>
        <w:t xml:space="preserve">Milyen szintű a keresetek differenciáltsága a tagállamokban? Hogyan alakulnak a minimálbérek az Európai Unióban?</w:t>
      </w:r>
    </w:p>
    <w:p>
      <w:pPr>
        <w:pStyle w:val="ListParagraphPHPDOCX"/>
        <w:numPr>
          <w:ilvl w:val="0"/>
          <w:numId w:val="44972720"/>
        </w:numPr>
        <w:spacing w:before="0" w:after="0" w:line="240" w:lineRule="auto"/>
        <w:contextualSpacing/>
        <w:jc w:val="left"/>
        <w:rPr>
          <w:sz w:val="24"/>
          <w:szCs w:val="24"/>
        </w:rPr>
      </w:pPr>
      <w:r>
        <w:rPr>
          <w:color w:val="000000"/>
          <w:sz w:val="24"/>
          <w:szCs w:val="24"/>
        </w:rPr>
        <w:t xml:space="preserve">Milyen az alapításhoz minimálisan szükséges tőkeigény a Kft és az Rt esetében az EU tagállamokban?</w:t>
      </w:r>
    </w:p>
    <w:p>
      <w:pPr>
        <w:pStyle w:val="ListParagraphPHPDOCX"/>
        <w:numPr>
          <w:ilvl w:val="0"/>
          <w:numId w:val="44972720"/>
        </w:numPr>
        <w:spacing w:before="0" w:after="0" w:line="240" w:lineRule="auto"/>
        <w:contextualSpacing/>
        <w:jc w:val="left"/>
        <w:rPr>
          <w:sz w:val="24"/>
          <w:szCs w:val="24"/>
        </w:rPr>
      </w:pPr>
      <w:r>
        <w:rPr>
          <w:color w:val="000000"/>
          <w:sz w:val="24"/>
          <w:szCs w:val="24"/>
        </w:rPr>
        <w:t xml:space="preserve">Milyen munkaerőköltségekkel kell számolni a különböző országokban?</w:t>
      </w:r>
    </w:p>
    <w:p>
      <w:pPr>
        <w:pStyle w:val="ListParagraphPHPDOCX"/>
        <w:numPr>
          <w:ilvl w:val="0"/>
          <w:numId w:val="44972720"/>
        </w:numPr>
        <w:spacing w:before="0" w:after="0" w:line="240" w:lineRule="auto"/>
        <w:contextualSpacing/>
        <w:jc w:val="left"/>
        <w:rPr>
          <w:sz w:val="24"/>
          <w:szCs w:val="24"/>
        </w:rPr>
      </w:pPr>
      <w:r>
        <w:rPr>
          <w:color w:val="000000"/>
          <w:sz w:val="24"/>
          <w:szCs w:val="24"/>
        </w:rPr>
        <w:t xml:space="preserve">Az EU milyen munka-erőpiaci politikát folytat, illetve mennyire fogadja el a más országokban szerzett szakképesítéseket?</w:t>
      </w:r>
    </w:p>
    <w:p>
      <w:pPr>
        <w:pBdr/>
        <w:spacing w:before="240" w:after="240" w:line="240" w:lineRule="auto"/>
        <w:ind w:left="0" w:right="0"/>
        <w:jc w:val="left"/>
      </w:pPr>
      <w:r>
        <w:rPr>
          <w:color w:val="000000"/>
          <w:sz w:val="24"/>
          <w:szCs w:val="24"/>
        </w:rPr>
        <w:t xml:space="preserve">A vizsgálataim során elsősorban az Eurostat által nyilvántartott statisztikák adtainak elemzésére támaszkodtam, melyek az Unió által végzett kutatások, illetve a tagállamok által kötelező adatszolgáltatások eredményei alapján lettek összeállítva. Dolgozatomban igyekszem a fent megfogalmazott kérdésekre választ adni, hiszen 8 évvel csatlakozásunkat követően, azt kell tapasztalnunk, hogy az akkori „dilemma” még mindig fennáll. Sokan mai napig nincsenek tisztában azzal, hogy milyen lehetőségeket nyújt számukra az EU, annak ellenére, hogy az általa hozott döntések közvetett vagy közvetlen módon, de hatással vannak életükre.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972720">
    <w:multiLevelType w:val="hybridMultilevel"/>
    <w:lvl w:ilvl="0" w:tplc="374153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972720">
    <w:abstractNumId w:val="449727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97883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