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KECSKEMÉTI</w:t>
            </w:r>
          </w:p>
          <w:p w:rsidR="00C275A3" w:rsidRDefault="00A96AEC" w:rsidP="00C275A3">
            <w:pPr>
              <w:pStyle w:val="Hallgatokepzes"/>
            </w:pPr>
            <w:r>
              <w:t>hungarian linguistics-geography</w:t>
            </w:r>
            <w:r>
              <w:br/>
            </w:r>
            <w:r w:rsidR="00E77B23">
              <w:t>BSc,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Hoffmann Ildikó PhD</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reading and the reading comprehension abilities and the components of working memory of children at the age of 9-12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research was to examine the linguistic and cognitive abilities of children with learning disorders. I compared the results with those children’s who develop linguistically in the common way as well as after a year with their own second results. The survey also covered reading and reading comprehension as well as processing and morphosyntactic abilities.</w:t>
      </w:r>
    </w:p>
    <w:p>
      <w:pPr>
        <w:pBdr/>
        <w:spacing w:before="240" w:after="240" w:line="240" w:lineRule="auto"/>
        <w:ind w:left="0" w:right="0"/>
        <w:jc w:val="left"/>
      </w:pPr>
      <w:r>
        <w:rPr>
          <w:color w:val="000000"/>
          <w:sz w:val="24"/>
          <w:szCs w:val="24"/>
        </w:rPr>
        <w:t xml:space="preserve">The procedure of the examinations of the verbal working memory and the word recognition were made by computer (iLab, Lukács et al. 2010). The exercises, which examined the global reading performances (iLab, Lukács et al. 2010) and contained sentence repetition tasks (MAMUT, Lukács, Kas, 2006), have been recorded on papers and in sound recordings, too.</w:t>
      </w:r>
    </w:p>
    <w:p>
      <w:pPr>
        <w:pBdr/>
        <w:spacing w:before="240" w:after="240" w:line="240" w:lineRule="auto"/>
        <w:ind w:left="0" w:right="0"/>
        <w:jc w:val="left"/>
      </w:pPr>
      <w:r>
        <w:rPr>
          <w:color w:val="000000"/>
          <w:sz w:val="24"/>
          <w:szCs w:val="24"/>
        </w:rPr>
        <w:t xml:space="preserve">Before the examination I supposed that there are differences among the capacity of the working memory, the mental lexicon and the processing levels of the two examined groups. The results have proved that in every experiment, as for the first examination, the children who develop linguistically in the common way reached better outcomes. After a year, as for the second examination in which I examined only those children who live with learning disorders, compared the latest performance with the previous one they have improved. Furthermore the activity of the mental lexicon has improved prominently.</w:t>
      </w:r>
    </w:p>
    <w:p>
      <w:pPr>
        <w:pBdr/>
        <w:spacing w:before="240" w:after="240" w:line="240" w:lineRule="auto"/>
        <w:ind w:left="0" w:right="0"/>
        <w:jc w:val="left"/>
      </w:pPr>
      <w:r>
        <w:rPr>
          <w:color w:val="000000"/>
          <w:sz w:val="24"/>
          <w:szCs w:val="24"/>
        </w:rPr>
        <w:t xml:space="preserve">It has been found that the development of the cognitive abilities affect fundamentally the lexical, the reading and the reading comprehension performance too. It can be noticed that the age-group who is in the critical period of the closure of the phonological loop (mainly at the age of ten) performed weaker on every level of the examination, thanks to their undeveloped repeating mechanism.</w:t>
      </w:r>
    </w:p>
    <w:p>
      <w:pPr>
        <w:pBdr/>
        <w:spacing w:before="240" w:after="240" w:line="240" w:lineRule="auto"/>
        <w:ind w:left="0" w:right="0"/>
        <w:jc w:val="left"/>
      </w:pPr>
      <w:r>
        <w:rPr>
          <w:color w:val="000000"/>
          <w:sz w:val="24"/>
          <w:szCs w:val="24"/>
        </w:rPr>
        <w:t xml:space="preserve">In my research I used such adult dyslexia test which was modified for the children. It can examine the linguistic and the cognitive abilities at the same time over and above the global reading performances in which the decoding and the reading comprehension abilities can be mapped.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58983">
    <w:multiLevelType w:val="hybridMultilevel"/>
    <w:lvl w:ilvl="0" w:tplc="59178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58983">
    <w:abstractNumId w:val="46658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976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