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SZILÁGYI</w:t>
            </w:r>
          </w:p>
          <w:p w:rsidR="00C275A3" w:rsidRDefault="00A96AEC" w:rsidP="00C275A3">
            <w:pPr>
              <w:pStyle w:val="Hallgatokepzes"/>
            </w:pPr>
            <w:r>
              <w:t>Studies in Finno-Ugristics</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Sipőcz, PhD.</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Object marking in Southern Mansi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Several new theories have been released in Finno-Ugristics requiring to review the results on direct object marking. The main Mansi dialects are recently researched concerning the phenomenon of object marking. Susanna Virtanen (2010-2012) examines the DOM in Eastern dialects. Skribnik Elena (2001) studies the pragmatic and syntactic constructions in Northern Mansi, and Katalin Sipőcz (2008, 2011) researches the ditransitive structures within the Mansi dialects. In the topic of object marking Ulla-Maija (Forsberg) and Katalin É. Kiss have made process to find the causes and explanations of the development of DOM. Apart the Northern dialect, all the others are extinct since the middle of the 20th century. The Southern dialect had many new features, that developed by the acceleration of extenction. As various object marking features, the dialect has three kind of structures on marking the object. There is a strict word order, which means the syntax has a significant role on DOM. First, the object could be unmarked, standing after the subject due to SOV word order, meaning the object and subject don't have additional suffixes. If the object is specific or determinated, it can be attached by the -m accusativ marker. In this case the object as secondary topic can be topicalised or focalised. The possibility of topicalisation or focalisation could cause changes in the order of arguments of the sentence. The second accusative structure has an alternate and almost equivalent stucture, in which the former object gets an -l instrumental suffix, and the former addressee-recipient moves into the object position indicating dative-shift. The accusative and instrumental structures have different meanings, generating differences in syntax, semantics and pragmatics. The determinated object requires determinated conjugation. The two features of marking specificity, meaning the accusative case suffix and the determinated verbal conjugation, these are not synchronised, producing many uncertainties in the analyse of Southern Mansi. My goal would be to analyse the whole Southern corpus morphologically and syntactically, and describe the main tendencies of the DOM.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930429">
    <w:multiLevelType w:val="hybridMultilevel"/>
    <w:lvl w:ilvl="0" w:tplc="922904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930429">
    <w:abstractNumId w:val="259304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04922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