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KISS</w:t>
            </w:r>
          </w:p>
          <w:p w:rsidR="00C275A3" w:rsidRDefault="00A96AEC" w:rsidP="00C275A3">
            <w:pPr>
              <w:pStyle w:val="Hallgatokepzes"/>
            </w:pPr>
            <w:r>
              <w:t>Germanistik</w:t>
            </w:r>
            <w:r>
              <w:br/>
            </w:r>
            <w:r w:rsidR="00E77B23">
              <w:t>BA, 5. semester</w:t>
            </w:r>
          </w:p>
          <w:p w:rsidR="00C265CE" w:rsidRPr="009E5FF1" w:rsidRDefault="00E77B23" w:rsidP="00C275A3">
            <w:pPr>
              <w:pStyle w:val="Hallgatokepzes"/>
              <w:rPr>
                <w:b/>
                <w:caps/>
              </w:rPr>
            </w:pPr>
            <w:r>
              <w:t>Universität Szeged</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Gaál</w:t>
            </w:r>
          </w:p>
          <w:p w:rsidR="00DB4822" w:rsidRDefault="00DB4822" w:rsidP="00E11062">
            <w:pPr>
              <w:pStyle w:val="Konzulensek"/>
            </w:pPr>
            <w:r w:rsidRPr="00DB4822">
              <w:t>Oberassistentin,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Zweitspracherwerb bei Gastarbeiterkindern. Eine Fallstudie in Weidenbach, Bayern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Die Arbeit beruht sich auf die Ergebnisse einer in Weidenbach, Bayern durchgeführten empirischen Untersuchung. Das Ziel meiner Arbeit war, dass die Phasen des Zweitspracherwerbs bei russischsprachigen Gastarbeiterkindern untersucht werden, und diese Phasen werden mit den Phasen des Mutterspracherwerbs gegenübergestellt. Die wichtigste Methode hat das mit 15 zweisprachigen Kindern gemachte Interview bedeutet, bevor ich Fragebögen für die Eltern angefertigt habe, um die sprachliche Hintergründe und den Sprachgebrauch der Eltern kennen zu lernen.</w:t>
      </w:r>
      <w:r>
        <w:rPr>
          <w:color w:val="000000"/>
          <w:sz w:val="24"/>
          <w:szCs w:val="24"/>
        </w:rPr>
        <w:br/>
        <w:t xml:space="preserve">Die Arbeit beschäftigt sich mit den Phasen des Zweitspracherwerbs so, dass sie mit den Phasen des Erstspracherwerbs gegenübergestellt wird.</w:t>
      </w:r>
      <w:r>
        <w:rPr>
          <w:color w:val="000000"/>
          <w:sz w:val="24"/>
          <w:szCs w:val="24"/>
        </w:rPr>
        <w:br/>
        <w:t xml:space="preserve">Die Ergebnisse zeigen uns, dass sich der Zweitspracherwerb bei den untersuchten Gastarbeiterkindern in den gleichen Phasen vollzieht, wie der Erwerb der Muttersprache (Russisch), aber auf diese Phasen wirkt die schon erworbene Muttersprache, bzw. die Phasen werden mit den Phasen des Fremdsprachenlernens gemischt. Im Falle der untersuchten Gastarbeiterkinder lässt sich sagen, dass wir über eine so genannte Zwischensprache sprechen können, weil sie die deutsche Sprache nicht in einer formellen Umgebung (z.B. in der Schule) erlernt haben.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04089">
    <w:multiLevelType w:val="hybridMultilevel"/>
    <w:lvl w:ilvl="0" w:tplc="59283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04089">
    <w:abstractNumId w:val="14404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298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