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ANIKO URBAN</w:t>
            </w:r>
          </w:p>
          <w:p w:rsidR="00C275A3" w:rsidRDefault="00A96AEC" w:rsidP="00C275A3">
            <w:pPr>
              <w:pStyle w:val="Hallgatokepzes"/>
            </w:pPr>
            <w:r>
              <w:t>Visual Cultural Studies</w:t>
            </w:r>
            <w:r>
              <w:br/>
            </w:r>
            <w:r w:rsidR="00E77B23">
              <w:t>MA, 3.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Orsolya Milian</w:t>
            </w:r>
          </w:p>
          <w:p w:rsidR="00DB4822" w:rsidRDefault="00DB4822" w:rsidP="00E11062">
            <w:pPr>
              <w:pStyle w:val="Konzulensek"/>
            </w:pPr>
            <w:r w:rsidRPr="00DB4822">
              <w:t>research fellow,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rebirth of Judith and Salomé (The fusion of the figures of Judith and Salomé on Gustav Klimt's Judith 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Gustav Klimt’s Judith I. is one of the most popular works of art, which is also known to many as Salomé. In choosing this topic for my paper, I was interested in the parallel between the figures of Judith and Salomé and in this respect I also found the title variations interesting. In the history of Art many similarities and differences appear between these two figures of the Bible. Examining the traditions of painting, one can see that they have been repeatedly transposed, in spite of their discriminatory attributes. However, at the turno of the century Judith and Salomé appear differently in arts and this fact turns out to be essential in understanding Klimt’s Judith themes paintings. He added Judith to the femme fatales which was unacceptable to the contemporary audience.</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Beside arts the femme fatale figure arose in the social field of this era, if we consider it as the destructive feminine and femininity. Many thinkers and journalists saw the wonmen’s rights movements and the working women of the bourgeoisie as a threat. This paper is based on the idea that the audience and the cultural context of a work of art have a certain effect on them, and thus interpretations are part of the life of these artworks. Hence in the first section of my paper the cultural background is explored in which Judith I. could come into existence. Since the reason for the peculiarity in this painting is the emergence of a new type of feminine. In Judith I. Judith and Salomé transform, or rather fuse which show us the frightening and admirable figure of the new “Eve” arising from the fantasy of the Fin de Siecle.</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the second section of my paper I set out to analyze the painting with the help of Erwin Panofsky’s three step model, in order to present this phenomenon of the new woman. Judith I.’s search for identity could be a sign of latent insecurity that the encounter with this new women posed in the contemporary spectators. By analyzing this painting we can note that it outlines a type of woman who is just “in the making” at the turn of the century. The same conclusion can be drawn when analyzing Klimt’s Judith II., painted eight years later. The woman figure appearing on Judith I. is a self-sufficing and confident being who deliberately rejects obligations forced on her by society.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436822">
    <w:multiLevelType w:val="hybridMultilevel"/>
    <w:lvl w:ilvl="0" w:tplc="138925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436822">
    <w:abstractNumId w:val="574368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6407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