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GYÖRGY FEKETE</w:t>
            </w:r>
          </w:p>
          <w:p w:rsidR="00C275A3" w:rsidRDefault="00A96AEC" w:rsidP="00C275A3">
            <w:pPr>
              <w:pStyle w:val="Hallgatokepzes"/>
            </w:pPr>
            <w:r>
              <w:t>MSc in Geography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Radics, PhD</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is Turkey heading? – The economy of Turkey in the period of consolidation and recovery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Turkey is separated from the Arabic countries of the Middle East because of its heterogeneous social, political and economical elements, as well as its unique history. Thanks to its special geographic location, Turkey functions as a bridge between Europe and Asia.</w:t>
      </w:r>
      <w:r>
        <w:rPr>
          <w:color w:val="000000"/>
          <w:sz w:val="24"/>
          <w:szCs w:val="24"/>
        </w:rPr>
        <w:br/>
        <w:t xml:space="preserve">For the first decade of the 21st century, the construction and contracting sector and the electronics became the key sector of the Turkish economy. Also, the agriculture-based food industry and textile industry, the world-class motor vehicles and automotive products became significant. Turkey’s export is growing and expanding continuously having the EU as its main foreign trade partner. In the service sector the tourism, the trade, the transport and the communications are dominant.</w:t>
      </w:r>
      <w:r>
        <w:rPr>
          <w:color w:val="000000"/>
          <w:sz w:val="24"/>
          <w:szCs w:val="24"/>
        </w:rPr>
        <w:br/>
        <w:t xml:space="preserve">Turkey is a net importer because of its minus foreign trade balance. As a consequence of it, Turkey is very reliant on foreign capital.</w:t>
      </w:r>
      <w:r>
        <w:rPr>
          <w:color w:val="000000"/>
          <w:sz w:val="24"/>
          <w:szCs w:val="24"/>
        </w:rPr>
        <w:br/>
        <w:t xml:space="preserve">Annually an average 12 Turkish multinational companies managed to appear on the Forbes’ list between 2006 and 2012. The companies produce thousands of workplaces, and they are the force of the economic growth as well. They are pioneers for small and medium-sized enterprises.</w:t>
      </w:r>
      <w:r>
        <w:rPr>
          <w:color w:val="000000"/>
          <w:sz w:val="24"/>
          <w:szCs w:val="24"/>
        </w:rPr>
        <w:br/>
        <w:t xml:space="preserve">It is observable in Turkey that low-cost product prices, the available young workforce and the prosperous environment are the competitive edges as opposed to other countries.</w:t>
      </w:r>
      <w:r>
        <w:rPr>
          <w:color w:val="000000"/>
          <w:sz w:val="24"/>
          <w:szCs w:val="24"/>
        </w:rPr>
        <w:br/>
        <w:t xml:space="preserve">Before the global financial crisis, Turkey maintained fiscal discipline demanded by international markets. In the global economic crisis, the economic recession was slowed down by tourism, where the growth was progressive.</w:t>
      </w:r>
      <w:r>
        <w:rPr>
          <w:color w:val="000000"/>
          <w:sz w:val="24"/>
          <w:szCs w:val="24"/>
        </w:rPr>
        <w:br/>
        <w:t xml:space="preserve">In 2010 the rising of foreign capital invests compensated the budget deficit and by that the conditions for economic growth were created. The re-launch of the investments are also encouraged for domestic companies.</w:t>
      </w:r>
      <w:r>
        <w:rPr>
          <w:color w:val="000000"/>
          <w:sz w:val="24"/>
          <w:szCs w:val="24"/>
        </w:rPr>
        <w:br/>
        <w:t xml:space="preserve">The outlook is favorable between 2012 and 2017 as an average over 5% continuing economic growth, single-digit inflation and the budget deficit below 2% can be expected.</w:t>
      </w:r>
      <w:r>
        <w:rPr>
          <w:color w:val="000000"/>
          <w:sz w:val="24"/>
          <w:szCs w:val="24"/>
        </w:rPr>
        <w:br/>
        <w:t xml:space="preserve">Turkey will have to face with a dilemma soon, whether to strive at all costs to become the EU’s new southeastern member state, or evolve in isolation to become a similar major economic power in the Middle East like the Ottoman Empire.</w:t>
      </w:r>
      <w:r>
        <w:rPr>
          <w:color w:val="000000"/>
          <w:sz w:val="24"/>
          <w:szCs w:val="24"/>
        </w:rPr>
        <w:br/>
        <w:t xml:space="preserve">My research is based on a variety of mostly English-language periodicals and material. The topic can be examined in further details in the future about the Turkey-EU relations and the threatening and hindering social conflict perspectives of economic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20944">
    <w:multiLevelType w:val="hybridMultilevel"/>
    <w:lvl w:ilvl="0" w:tplc="17172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20944">
    <w:abstractNumId w:val="633209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28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