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TIBOR SZŐKE</w:t>
            </w:r>
          </w:p>
          <w:p w:rsidR="00C275A3" w:rsidRDefault="00A96AEC" w:rsidP="00C275A3">
            <w:pPr>
              <w:pStyle w:val="Hallgatokepzes"/>
            </w:pPr>
            <w:r>
              <w:t>Mechanical Engineering Modelling</w:t>
            </w:r>
            <w:r>
              <w:br/>
            </w:r>
            <w:r w:rsidR="00E77B23">
              <w:t>MSc,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Csaba Hős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Kétdimenziós áramlási tér keverőképességének vizsgálata kinematikai jellemzők alapján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mixing of two or more uids is a common industrial task. The goal of sizing the mixer</w:t>
      </w:r>
      <w:r>
        <w:rPr>
          <w:color w:val="000000"/>
          <w:sz w:val="24"/>
          <w:szCs w:val="24"/>
        </w:rPr>
        <w:br/>
        <w:t xml:space="preserve">is to achieve a homogeneous mixture within reasonable time, by consuming acceptable amount</w:t>
      </w:r>
      <w:r>
        <w:rPr>
          <w:color w:val="000000"/>
          <w:sz w:val="24"/>
          <w:szCs w:val="24"/>
        </w:rPr>
        <w:br/>
        <w:t xml:space="preserve">of energy. When analysing dierent mixer geometries or flow conditions, one encounters the</w:t>
      </w:r>
      <w:r>
        <w:rPr>
          <w:color w:val="000000"/>
          <w:sz w:val="24"/>
          <w:szCs w:val="24"/>
        </w:rPr>
        <w:br/>
        <w:t xml:space="preserve">problem that the goodness of mixing is highly challenging to quantify, especially in the case of</w:t>
      </w:r>
      <w:r>
        <w:rPr>
          <w:color w:val="000000"/>
          <w:sz w:val="24"/>
          <w:szCs w:val="24"/>
        </w:rPr>
        <w:br/>
        <w:t xml:space="preserve">real-life (complex) geometries and flowfields. There is no ultimate, widely accepted measure to</w:t>
      </w:r>
      <w:r>
        <w:rPr>
          <w:color w:val="000000"/>
          <w:sz w:val="24"/>
          <w:szCs w:val="24"/>
        </w:rPr>
        <w:br/>
        <w:t xml:space="preserve">evaluate the mixing ability.</w:t>
      </w:r>
      <w:r>
        <w:rPr>
          <w:color w:val="000000"/>
          <w:sz w:val="24"/>
          <w:szCs w:val="24"/>
        </w:rPr>
        <w:br/>
        <w:t xml:space="preserve">The goal of this study is the investigation of the mixing ability of a cylindricalflowfield</w:t>
      </w:r>
      <w:r>
        <w:rPr>
          <w:color w:val="000000"/>
          <w:sz w:val="24"/>
          <w:szCs w:val="24"/>
        </w:rPr>
        <w:br/>
        <w:t xml:space="preserve">in which there is an eccentrically placed rotating mixer element. More precisely, we intend to</w:t>
      </w:r>
      <w:r>
        <w:rPr>
          <w:color w:val="000000"/>
          <w:sz w:val="24"/>
          <w:szCs w:val="24"/>
        </w:rPr>
        <w:br/>
        <w:t xml:space="preserve">evaluate three techniques of measuring mixing ability from the engineering point of view. These</w:t>
      </w:r>
      <w:r>
        <w:rPr>
          <w:color w:val="000000"/>
          <w:sz w:val="24"/>
          <w:szCs w:val="24"/>
        </w:rPr>
        <w:br/>
        <w:t xml:space="preserve">three techniques are</w:t>
      </w:r>
    </w:p>
    <w:p>
      <w:pPr>
        <w:pStyle w:val="ListParagraphPHPDOCX"/>
        <w:numPr>
          <w:ilvl w:val="0"/>
          <w:numId w:val="1108852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self-developed method computing the deformation of fluid packages,</w:t>
      </w:r>
    </w:p>
    <w:p>
      <w:pPr>
        <w:pStyle w:val="ListParagraphPHPDOCX"/>
        <w:numPr>
          <w:ilvl w:val="0"/>
          <w:numId w:val="1108852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statistical approach monitoring the standard deviation of the concentration of marker particles and</w:t>
      </w:r>
    </w:p>
    <w:p>
      <w:pPr>
        <w:pStyle w:val="ListParagraphPHPDOCX"/>
        <w:numPr>
          <w:ilvl w:val="0"/>
          <w:numId w:val="11088520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third approach focusing on the local stretching properties based on the velocity gradient tensor.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these methods require the velocity field a priori, which was calculated by CFD simulations.</w:t>
      </w:r>
      <w:r>
        <w:rPr>
          <w:color w:val="000000"/>
          <w:sz w:val="24"/>
          <w:szCs w:val="24"/>
        </w:rPr>
        <w:br/>
        <w:t xml:space="preserve">Further calculations were carried out in Matlab.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88520">
    <w:multiLevelType w:val="hybridMultilevel"/>
    <w:lvl w:ilvl="0" w:tplc="16752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88520">
    <w:abstractNumId w:val="110885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327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