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JÓZSA</w:t>
            </w:r>
          </w:p>
          <w:p w:rsidR="00C275A3" w:rsidRDefault="00A96AEC" w:rsidP="00C275A3">
            <w:pPr>
              <w:pStyle w:val="Hallgatokepzes"/>
            </w:pPr>
            <w:r>
              <w:t>Mechanical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Sztankó</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Attila Kun-Balog</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steam-blast gas turbine fuel atomizer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cogeneration the demand shifts towards electricity production. Our research was based on this statement. Biodiesel and bioethanol are dominant fluid type renewable fuels in Hungary. The last one was used in gas turbine environment. Steam of water and aqueous alcohol blend was applied, which was a simulated auxiliary medium. Finally pre- and post-distillates will be used, which produced by alcohol industry and considered hazardous waste.</w:t>
      </w:r>
    </w:p>
    <w:p>
      <w:pPr>
        <w:pBdr/>
        <w:spacing w:before="240" w:after="240" w:line="240" w:lineRule="auto"/>
        <w:ind w:left="0" w:right="0"/>
        <w:jc w:val="left"/>
      </w:pPr>
      <w:r>
        <w:rPr>
          <w:color w:val="000000"/>
          <w:sz w:val="24"/>
          <w:szCs w:val="24"/>
        </w:rPr>
        <w:t xml:space="preserve">Ethanol-water blend steam can be produced by the heat content of gas turbine exhaust gas. Our aim was analyzing the effect of these auxiliary mediums on vaporizer system. With this method the demand for main fuel, as for us diesel oil could be reduced. Applying renewable energy resources will reduce our ecological footprint. Also efficiency improvement can be achieved for a certain electric performance. During tests with steam of water and aqueous alcoholic blend as atomization auxiliary medium, the flame became more homogeneous, than in original configuration. Because of the more uniform temperature distribution, the life of turbine blades can be extended. The modified configuration was evaluated also from acoustics and emission viewpoint.</w:t>
      </w:r>
    </w:p>
    <w:p>
      <w:pPr>
        <w:pBdr/>
        <w:spacing w:before="240" w:after="240" w:line="240" w:lineRule="auto"/>
        <w:ind w:left="0" w:right="0"/>
        <w:jc w:val="left"/>
      </w:pPr>
      <w:r>
        <w:rPr>
          <w:color w:val="000000"/>
          <w:sz w:val="24"/>
          <w:szCs w:val="24"/>
        </w:rPr>
        <w:t xml:space="preserve">Our own developed test rig was equipped with an airblast atomizer of a fluid fueled Capstone C330 micro gas turbine. Ethanol-water blend steam was generated in boiler pipe system in two steps, than led to the nozzle of the auxiliary medium, where air was used originally. Because this system does not rely on compressor exit pressure, operation regime could be extended. Analysis of flame showed us what factors have effect on evaporation and flame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48664">
    <w:multiLevelType w:val="hybridMultilevel"/>
    <w:lvl w:ilvl="0" w:tplc="97745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48664">
    <w:abstractNumId w:val="29748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774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