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ATTILA KORONCZI</w:t>
            </w:r>
          </w:p>
          <w:p w:rsidR="00C275A3" w:rsidRDefault="00A96AEC" w:rsidP="00C275A3">
            <w:pPr>
              <w:pStyle w:val="Hallgatokepzes"/>
            </w:pPr>
            <w:r>
              <w:t>Architectural Engineering Design</w:t>
            </w:r>
            <w:r>
              <w:br/>
            </w:r>
            <w:r w:rsidR="00E77B23">
              <w:t>MSc, 1. semester</w:t>
            </w:r>
          </w:p>
          <w:p w:rsidR="00C265CE" w:rsidRPr="009E5FF1" w:rsidRDefault="00E77B23" w:rsidP="00C275A3">
            <w:pPr>
              <w:pStyle w:val="Hallgatokepzes"/>
              <w:rPr>
                <w:b/>
                <w:caps/>
              </w:rPr>
            </w:pPr>
            <w:r>
              <w:t>University of Pécs</w:t>
            </w:r>
            <w:r w:rsidR="00C275A3">
              <w:br/>
            </w:r>
            <w:r w:rsidR="00DB4822">
              <w:t>Pollack Mihály Faculty of Engineering and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Donát Rétfalvi</w:t>
            </w:r>
          </w:p>
          <w:p w:rsidR="00DB4822" w:rsidRDefault="00DB4822" w:rsidP="00E11062">
            <w:pPr>
              <w:pStyle w:val="Konzulensek"/>
            </w:pPr>
            <w:r w:rsidRPr="00DB4822">
              <w:t>associate professor, PTE PMMIK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Affordable Architectural Intensity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These days the construction industry is in crisis, the financial resources rapidly decreasing but the client’s needs are higher than ever. Through many contests I realized that two things are always in tensioin. On one side the value-added solutions by the architects and on the other side there is the short-sighted, undeliberate using of the financial resources. As an architect our main task is more than just create value,we have to pursue to be economical and sustainable too. In my thesis I am going to present and analyse that work, which led me to a paradigm shift and became the base theme of my research. Furthermore I collect in my thesis mentally and professional devices to help fulfillining the client’s economic interests and also the society’s needs. I am going to research opportunities, guidelines and useful tips to adopt them while keeping the values of built heritage in sight. The future results of my research can help integrate graduates into the most segments of the construction industry which has undergone major changes in the last couple of years. The thesis can help us to recognize and explore the primal social and professional problems - caused by the global economic crisis, and their correlations so we can respond as giving up-to-date and economical solutions.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369995">
    <w:multiLevelType w:val="hybridMultilevel"/>
    <w:lvl w:ilvl="0" w:tplc="840645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369995">
    <w:abstractNumId w:val="343699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0188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