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BOTZHEIM</w:t>
            </w:r>
          </w:p>
          <w:p w:rsidR="00C275A3" w:rsidRDefault="00A96AEC" w:rsidP="00C275A3">
            <w:pPr>
              <w:pStyle w:val="Hallgatokepzes"/>
            </w:pPr>
            <w:r>
              <w:t>Architecture</w:t>
            </w:r>
            <w:r>
              <w:br/>
            </w:r>
            <w:r w:rsidR="00E77B23">
              <w:t>MSc, 11. semester</w:t>
            </w:r>
          </w:p>
          <w:p w:rsidR="00C265CE" w:rsidRPr="009E5FF1" w:rsidRDefault="00E77B23" w:rsidP="00C275A3">
            <w:pPr>
              <w:pStyle w:val="Hallgatokepzes"/>
              <w:rPr>
                <w:b/>
                <w:caps/>
              </w:rPr>
            </w:pPr>
            <w:r>
              <w:t>University of Pécs</w:t>
            </w:r>
            <w:r w:rsidR="00C275A3">
              <w:br/>
            </w:r>
            <w:r w:rsidR="00DB4822">
              <w:t>Pollack Mihály Faculty of Engineering and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Donat Retfalvi</w:t>
            </w:r>
          </w:p>
          <w:p w:rsidR="00DB4822" w:rsidRDefault="00DB4822" w:rsidP="00E11062">
            <w:pPr>
              <w:pStyle w:val="Konzulensek"/>
            </w:pPr>
            <w:r w:rsidRPr="00DB4822">
              <w:t>associate professor,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Laboratories of New Architecture - Theories, Trends and University Form Research</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territory of the paper is architectural form research, including the theories, trends, and a possible university worskhop modell for this this activity. In the last decade of the twentieth century, the increasing computing capacity of the personal computer is led to an intensive evolution among others in the field of CAD and animation software industries. The common attributes of this softwares is the intesive use of non-euclidean mathematics, like calculus and differential geometry.</w:t>
      </w:r>
    </w:p>
    <w:p>
      <w:pPr>
        <w:pBdr/>
        <w:spacing w:before="240" w:after="240" w:line="240" w:lineRule="auto"/>
        <w:ind w:left="0" w:right="0"/>
        <w:jc w:val="left"/>
      </w:pPr>
      <w:r>
        <w:rPr>
          <w:color w:val="000000"/>
          <w:sz w:val="24"/>
          <w:szCs w:val="24"/>
        </w:rPr>
        <w:t xml:space="preserve">Several architects in the eighties found out the new geometrical possibilities of this computational tools, and began to develop the new language of architectural geometry or style. Various architects connecting together and connecting to the leading universities, began to figure out the main trends of the new architecture. The universities have a remarkable role in this process.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457798">
    <w:multiLevelType w:val="hybridMultilevel"/>
    <w:lvl w:ilvl="0" w:tplc="133829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457798">
    <w:abstractNumId w:val="894577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72773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