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MARIETTA KÉKES SZABÓ</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Kőváry</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the Effect of the Psychosocial Background on Health Status. Comparative Study of the Family Representation of Young Patients with Asthma and Panic Disorder.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family constitutes a psychological unit in which the individual’s development is subject to the interactions of the family members present in the system (Székely, 2008). Therefore if a person is to be regarded functioning as a whole, he/she should be examined from a systematic approach (Onnis, 1993; Bárdos, 2003; Mentzos, 2003).</w:t>
      </w:r>
    </w:p>
    <w:p>
      <w:pPr>
        <w:widowControl w:val="on"/>
        <w:pBdr/>
        <w:spacing w:before="240" w:after="240" w:line="240" w:lineRule="auto"/>
        <w:ind w:left="0" w:right="0"/>
        <w:jc w:val="left"/>
      </w:pPr>
      <w:r>
        <w:rPr>
          <w:color w:val="000000"/>
          <w:sz w:val="24"/>
          <w:szCs w:val="24"/>
        </w:rPr>
        <w:t xml:space="preserve">In my research I was looking for possible connections between asthma and panic disorder, by comparing the family representation of 12 asthmatic patients (age: between 19.5-28 years, M: 21.625 SD: 2.2475; 1 male/11 females), 12 panic patients (age: between 19.5-26 years, M: 21.917 SD: 1.9521, 12 females) and 57 healthy subjects (age: between 17.5-29 years, M: 21.474 SD: 1.6351, 3 males/54 females) with the use of Gehring’s (2010) Family System Test (FAST).</w:t>
      </w:r>
    </w:p>
    <w:p>
      <w:pPr>
        <w:widowControl w:val="on"/>
        <w:pBdr/>
        <w:spacing w:before="240" w:after="240" w:line="240" w:lineRule="auto"/>
        <w:ind w:left="0" w:right="0"/>
        <w:jc w:val="left"/>
      </w:pPr>
      <w:r>
        <w:rPr>
          <w:color w:val="000000"/>
          <w:sz w:val="24"/>
          <w:szCs w:val="24"/>
        </w:rPr>
        <w:t xml:space="preserve">During the quantitative analysis of the data, I did not find a significant difference in the strength of cohesion on the level of the family and its subsystems, but the strength of hierarchy – on family level, in an ideal situation – showed significant differences between the groups (χ ² = 12.678, df = 6, p = 0.048 ). Panic patients displayed a stronger hierarchy in their representations. The flexibility of sibling cohesion also revealed a significant difference (F (2) = 3.482, 3.523, p = 0.037). Asthmatic patients “idealized” a closer relationship with their siblings than healthy or panic patients. The relationship structure of the family and its subsystems had tendentious differences in distribution. Young people with asthma were more likely to show a balanced relationship structure, whereas panic patients showed unstable-balanced relationship structures as well.</w:t>
      </w:r>
    </w:p>
    <w:p>
      <w:pPr>
        <w:widowControl w:val="on"/>
        <w:pBdr/>
        <w:spacing w:before="240" w:after="240" w:line="240" w:lineRule="auto"/>
        <w:ind w:left="0" w:right="0"/>
        <w:jc w:val="left"/>
      </w:pPr>
      <w:r>
        <w:rPr>
          <w:color w:val="000000"/>
          <w:sz w:val="24"/>
          <w:szCs w:val="24"/>
        </w:rPr>
        <w:t xml:space="preserve">The qualitative analysis revealed a larger difference in the previous and current family structure for panic patients. The spatial position of the test figures symbolizing the family members and the direction of their look gave a typical pattern for the examined groups, just as the coloured wooden figures expressing the personal qualities of the family members and the related associations also offered a characteristic picture. “Triangulation”, which indicates family communication problems, occurred more frequently in the patients groups.</w:t>
      </w:r>
    </w:p>
    <w:p>
      <w:pPr>
        <w:widowControl w:val="on"/>
        <w:pBdr/>
        <w:spacing w:before="240" w:after="240" w:line="240" w:lineRule="auto"/>
        <w:ind w:left="0" w:right="0"/>
        <w:jc w:val="left"/>
      </w:pPr>
      <w:r>
        <w:rPr>
          <w:color w:val="000000"/>
          <w:sz w:val="24"/>
          <w:szCs w:val="24"/>
        </w:rPr>
        <w:t xml:space="preserve">Thus the family background and its perception are in connection with the occurrence of psychosomatic symptoms. However, further investigation is necessary in order to interpret the results in a broader context, by means of which a more effective intervention can be planned.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88486">
    <w:multiLevelType w:val="hybridMultilevel"/>
    <w:lvl w:ilvl="0" w:tplc="31030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88486">
    <w:abstractNumId w:val="60688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859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