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MARTA KOROM</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SZANDRA LASZLO</w:t>
            </w:r>
          </w:p>
          <w:p w:rsidR="00DB4822" w:rsidRDefault="00C275A3" w:rsidP="004D7940">
            <w:pPr>
              <w:pStyle w:val="Hallgatokepzes"/>
            </w:pPr>
            <w:r>
              <w:t>Psychology</w:t>
            </w:r>
            <w:r w:rsidR="00A96AEC">
              <w:br/>
              <w:t>MA,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Economic and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Orosz</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Decision-making processes individually and in social presence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Goals and background: The primary goal of the present study is the examination of the impact of individual and social situations on decision making performance and conscious knowledge about advantageous strategies. The main question is whether social context facilitates or inhibits conscious knowledge about appropriate strategies which is a fundamental segment of individual decision making processes. Methods: One hundred and eleven individuals completed the Iowa Gambing Task in five different conditions: 17 in individually motivated condition, 23 in competitive condition, 27 in social presence condition, 20 individuals in completely alone condition, and 24 in classic control IGT. Results: Whereas no difference was found between conditions regarding IGT performance, conscious knowledge about advantageous strategies showed salient differences depending on the social nature of the context. In individual conditions (individually motivated, completely alone and classic IGT conditions) participants have more conscious knowledge about advantageous strategies than in social conditions (social presence and competitive conditions). Therefore, individuals in social settings are less aware of how somatic markers influence their decisions. Conclusion: According to the results, in social contexts individuals are less aware of the strategies they use during decision making in comparison with individual situations. However, independently from the level of consciousness it is possible to make right decisions in both individual and social contexts.</w:t>
      </w:r>
    </w:p>
    <w:p>
      <w:pPr>
        <w:pBdr/>
        <w:spacing w:before="240" w:after="240" w:line="240" w:lineRule="auto"/>
        <w:ind w:left="0" w:right="0"/>
        <w:jc w:val="left"/>
      </w:pPr>
      <w:r>
        <w:rPr>
          <w:color w:val="000000"/>
          <w:sz w:val="24"/>
          <w:szCs w:val="24"/>
        </w:rPr>
        <w:t xml:space="preserve">Keywords: decision-making, Iowa Gambling Task, awareness, social presence, individual condition, social cognition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11825">
    <w:multiLevelType w:val="hybridMultilevel"/>
    <w:lvl w:ilvl="0" w:tplc="59658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11825">
    <w:abstractNumId w:val="928118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686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