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SZABÓ</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Andó</w:t>
            </w:r>
          </w:p>
          <w:p w:rsidR="00DB4822" w:rsidRDefault="00DB4822" w:rsidP="00E11062">
            <w:pPr>
              <w:pStyle w:val="Konzulensek"/>
            </w:pPr>
            <w:r w:rsidRPr="00DB4822">
              <w:t>clinical psychologist, professor's assistant,  Albert Szent-Györgyi Medical and Pharmaceutical Center 
Faculty of Medicine 
Department of Psychiatry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 in depressive symptoms of patients with alcohol dependence in treatment according to the Minnesota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Aims: The Minnesota Model (MM) is a rehabilitational treatment program for patients with alcohol dependence. During the therapy of five months’ duration the patients receive medicine only in the withdrawal period. Depressive symptoms are often observed in alcoholism that intensify immediately after the cessation of alcohol consumption therefore we have to consider their intensity during the treatment. The purpose of our study was – following up the condition of the patients – to examine whether the depressive symptoms change during the Minnesota Model treatment. Our hypothesis was that during the Minnesota Model treatment and the increasing duration of the abstinence the depressive symptoms diminish.</w:t>
      </w:r>
      <w:r>
        <w:rPr>
          <w:color w:val="000000"/>
          <w:sz w:val="24"/>
          <w:szCs w:val="24"/>
        </w:rPr>
        <w:br/>
        <w:t xml:space="preserve">Methods: This follow-up study was conducted at the Addiction Rehabilitation Department in the Hospital of Szigetvár involving 72 patients (44 male, 28 female). We used the short form of Beck Depression Inventory (BDI) to measure the intense of the depressive symptoms and we considered the recovery stage of the patients. During the follow-up the measurement occurred at four different time points: at the beginning of the treatment, two times during the treatment and at its end point. For statistical analysis we used repeated measures analysis of variance.</w:t>
      </w:r>
      <w:r>
        <w:rPr>
          <w:color w:val="000000"/>
          <w:sz w:val="24"/>
          <w:szCs w:val="24"/>
        </w:rPr>
        <w:br/>
        <w:t xml:space="preserve">Results: Based on the measurements we could observe significant reduction in the BDI scores.</w:t>
      </w:r>
      <w:r>
        <w:rPr>
          <w:color w:val="000000"/>
          <w:sz w:val="24"/>
          <w:szCs w:val="24"/>
        </w:rPr>
        <w:br/>
        <w:t xml:space="preserve">Conclusion: In the case of patients with alcohol dependence treated by MM and during the increasing duration of the abstinence period the intensity of depressive symptoms decreases. Therefore we can conclude that we have to diagnose depression carefully in alcoholism because we can suppose that the changed habits of the alcohol consumption cause these depressive symptoms. According to our results the MM treatment is also appropriate to decrease depressive symptoms in alcohol illness.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93647">
    <w:multiLevelType w:val="hybridMultilevel"/>
    <w:lvl w:ilvl="0" w:tplc="10131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93647">
    <w:abstractNumId w:val="85693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855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