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ISTVÁN JÓZSA</w:t>
            </w:r>
          </w:p>
          <w:p w:rsidR="00C275A3" w:rsidRDefault="00A96AEC" w:rsidP="00C275A3">
            <w:pPr>
              <w:pStyle w:val="Hallgatokepzes"/>
            </w:pPr>
            <w:r>
              <w:t>Mechanical Engineering Modelling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Paál</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falmozgás hatása a véráramlásra mesterséges hasi aneurizmákban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Studying the hemodynamic processes in the human body requires a profound knowledge in several distinct fields (physiology, fluid and solid mechanics, etc.). This leads to an intensive cooperation between medical doctors and engineers. It is conjectured that understanding hemodynamic processes associated with various cardiovascular diseases helps diagnose and treat these.</w:t>
      </w:r>
    </w:p>
    <w:p>
      <w:pPr>
        <w:pBdr/>
        <w:spacing w:before="240" w:after="240" w:line="240" w:lineRule="auto"/>
        <w:ind w:left="0" w:right="0"/>
        <w:jc w:val="left"/>
      </w:pPr>
      <w:r>
        <w:rPr>
          <w:color w:val="000000"/>
          <w:sz w:val="24"/>
          <w:szCs w:val="24"/>
        </w:rPr>
        <w:t xml:space="preserve">An aneurysm is a localized blood-filled balloon on the wall of a blood vessel. According to their location we differentiate between intracranial and abdominal aneurysms. Not all aneurysms are dangerous. According to the traditional view when the size reaches a certain level, there is an increasing risk of rupture that can be fatal. There are some surgical intervention techniques that may decrease the risk of the rupture. However, these interventions themselves carry some risk. The reason for aneurysm evolution is still unknown but researchers found that there is a strong biological, chemical, and physical interaction between the vessel wall and the blood flow. The receptors on the inner wall surface send biological signals to the vessel wall according to the physical parameters of the flow. This way the cellular structure and the mechanical properties of the vessel are controlled.</w:t>
      </w:r>
    </w:p>
    <w:p>
      <w:pPr>
        <w:pBdr/>
        <w:spacing w:before="240" w:after="240" w:line="240" w:lineRule="auto"/>
        <w:ind w:left="0" w:right="0"/>
        <w:jc w:val="left"/>
      </w:pPr>
      <w:r>
        <w:rPr>
          <w:color w:val="000000"/>
          <w:sz w:val="24"/>
          <w:szCs w:val="24"/>
        </w:rPr>
        <w:t xml:space="preserve">My work focuses on abdominal aortic aneurysms. The chemical processes were neglected, and only the mechanical interaction between the wall and the fluid was investigated. Some artificial aneurysm models with realistic geometrical dimensions were taken over from the literature, and some others were based on medical images. After the discretization numerous simulations were run. It was assumed that the flow is laminar, the blood is Newtonian and the wall is linearly elastic.</w:t>
      </w:r>
    </w:p>
    <w:p>
      <w:pPr>
        <w:pBdr/>
        <w:spacing w:before="240" w:after="240" w:line="240" w:lineRule="auto"/>
        <w:ind w:left="0" w:right="0"/>
        <w:jc w:val="left"/>
      </w:pPr>
      <w:r>
        <w:rPr>
          <w:color w:val="000000"/>
          <w:sz w:val="24"/>
          <w:szCs w:val="24"/>
        </w:rPr>
        <w:t xml:space="preserve">The aim of the work is to assess the differences between two-way and one-way coupling of wall deformation and flow. The study included rigid wall simulations as well. The reasons for differences have been analyzed. The results were compared with literature data and measurements. The mesh convergence studies were carried out on both the solid and fluid sides. In addition, a new way of treating the inlet and outlet boundary conditions for three-dimensional simulations of an arbitrary part of the arterial system was introduced. The new source of the boundary conditions is a one dimensional in-house transient simulator. The results may lead to a simplified treatment of very resource-intensive two-way coupled FSI simulations.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42529">
    <w:multiLevelType w:val="hybridMultilevel"/>
    <w:lvl w:ilvl="0" w:tplc="77294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42529">
    <w:abstractNumId w:val="33542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165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