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GULYÁS</w:t>
            </w:r>
          </w:p>
          <w:p w:rsidR="00C275A3" w:rsidRDefault="00A96AEC" w:rsidP="00C275A3">
            <w:pPr>
              <w:pStyle w:val="Hallgatokepzes"/>
            </w:pPr>
            <w:r>
              <w:t>faculty of architecture</w:t>
            </w:r>
            <w:r>
              <w:br/>
            </w:r>
            <w:r w:rsidR="00E77B23">
              <w:t>Unified, 5.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MR. ISTVÁN LADJÁNSZKY</w:t>
            </w:r>
          </w:p>
          <w:p w:rsidR="00DB4822" w:rsidRDefault="00C275A3" w:rsidP="004D7940">
            <w:pPr>
              <w:pStyle w:val="Hallgatokepzes"/>
            </w:pPr>
            <w:r>
              <w:t>Bachelor of Science Degree Pr. in Architectural Engineering</w:t>
            </w:r>
            <w:r w:rsidR="00A96AEC">
              <w:br/>
              <w:t>BSc, 5.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MR. TAMÁS SOÓS</w:t>
            </w:r>
          </w:p>
          <w:p w:rsidR="00C275A3" w:rsidRDefault="00A96AEC" w:rsidP="00C275A3">
            <w:pPr>
              <w:pStyle w:val="Hallgatokepzes"/>
            </w:pPr>
            <w:r>
              <w:t>Master Program in Architectural Engineering (5 year integrated)</w:t>
            </w:r>
            <w:r>
              <w:br/>
            </w:r>
            <w:r w:rsidR="00E77B23">
              <w:t>Unified, 5.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MR.GYULA VÉGH</w:t>
            </w:r>
          </w:p>
          <w:p w:rsidR="00DB4822" w:rsidRDefault="00C275A3" w:rsidP="004D7940">
            <w:pPr>
              <w:pStyle w:val="Hallgatokepzes"/>
            </w:pPr>
            <w:r>
              <w:t>Bachelor of Science Degree Pr. in Architectural Engineering</w:t>
            </w:r>
            <w:r w:rsidR="00A96AEC">
              <w:br/>
              <w:t>BSc, 5.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 Miklós Vannay</w:t>
            </w:r>
          </w:p>
          <w:p w:rsidR="00DB4822" w:rsidRDefault="00DB4822" w:rsidP="00E11062">
            <w:pPr>
              <w:pStyle w:val="Konzulensek"/>
            </w:pPr>
            <w:r w:rsidRPr="00DB4822">
              <w:t>professor’s assistant, BME ÉSZK</w:t>
            </w:r>
          </w:p>
        </w:tc>
      </w:tr>
      <w:tr w:rsidR="00DB4822" w:rsidTr="00DB4822">
        <w:tc>
          <w:tcPr>
            <w:tcW w:w="9854" w:type="dxa"/>
          </w:tcPr>
          <w:p w:rsidR="00DB4822" w:rsidRPr="00DB4822" w:rsidRDefault="00DB4822" w:rsidP="004D7940">
            <w:pPr>
              <w:pStyle w:val="Konzulensek"/>
            </w:pPr>
            <w:r w:rsidRPr="00DB4822">
              <w:t>Mr. Attila Turi</w:t>
            </w:r>
          </w:p>
          <w:p w:rsidR="00DB4822" w:rsidRDefault="00DB4822" w:rsidP="00E11062">
            <w:pPr>
              <w:pStyle w:val="Konzulensek"/>
            </w:pPr>
            <w:r w:rsidRPr="00DB4822">
              <w:t>architect,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LIFELONG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While working on the project we have aspired to create such a living space that –besides projecting the conception we elaborated– completely satisfies implicit functional expectations. Based on the typical Hungarian career and living model, we aim this house to be a lifelong home, which, in the meantime, tries to avoid monotony caused by planning ahead lifelong. In order to achieve the above goal the right technique is to plan a mobile, variable layout that suits the life cycles of a family. The mobile elements, namely the bedrooms, forming the spatial structure are lightweight boxes, which can be moved about within the main mass of the building and/or pushed out or around. Owners are able to amend or expand their home at any time with elements listed in the catalogue attached. We do not intend to strictly determine our plan by the presented layout but rather illustrate the method we have tried to elaborate. The basic conception has been shaped by the following guidelines: applicability, cost-efficiency, sophisticated esthetical quality, variability. In the use of materials and in the spatial structure we have aimed to suggest proximity to nature by features such as copper coverage on the roof, wooden doors and windows, large glass surfaces overlooking the surrounding environment. The cost-efficiency is detailed in the budget table attached</w:t>
      </w:r>
    </w:p>
    <w:p>
      <w:pPr>
        <w:widowControl w:val="on"/>
        <w:pBdr/>
        <w:spacing w:before="240" w:after="240" w:line="240" w:lineRule="auto"/>
        <w:ind w:left="0" w:right="0"/>
        <w:jc w:val="left"/>
      </w:pPr>
      <w:r>
        <w:rPr>
          <w:color w:val="000000"/>
          <w:sz w:val="24"/>
          <w:szCs w:val="24"/>
        </w:rPr>
        <w:t xml:space="preserve">.</w:t>
      </w:r>
      <w:r>
        <w:rPr>
          <w:color w:val="000000"/>
          <w:sz w:val="24"/>
          <w:szCs w:val="24"/>
        </w:rPr>
        <w:drawing>
          <wp:inline distT="0" distB="0" distL="0" distR="0">
            <wp:extent cx="2239200" cy="2008800"/>
            <wp:docPr id="28425289" name="name1512fb33412d4b" descr="imgtmp_20884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884_int_1.gif"/>
                    <pic:cNvPicPr/>
                  </pic:nvPicPr>
                  <pic:blipFill>
                    <a:blip r:embed="rId1512fb33412d0d" cstate="print"/>
                    <a:stretch>
                      <a:fillRect/>
                    </a:stretch>
                  </pic:blipFill>
                  <pic:spPr>
                    <a:xfrm>
                      <a:off x="0" y="0"/>
                      <a:ext cx="2239200" cy="2008800"/>
                    </a:xfrm>
                    <a:prstGeom prst="rect">
                      <a:avLst/>
                    </a:prstGeom>
                    <a:ln w="0">
                      <a:noFill/>
                    </a:ln>
                  </pic:spPr>
                </pic:pic>
              </a:graphicData>
            </a:graphic>
          </wp:inline>
        </w:drawing>
      </w:r>
      <w:r>
        <w:rPr>
          <w:color w:val="000000"/>
          <w:sz w:val="24"/>
          <w:szCs w:val="24"/>
        </w:rPr>
        <w:drawing>
          <wp:inline distT="0" distB="0" distL="0" distR="0">
            <wp:extent cx="2073600" cy="2044800"/>
            <wp:docPr id="64797941" name="name1512fb33414026" descr="imgtmp_20884_int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884_int_2.gif"/>
                    <pic:cNvPicPr/>
                  </pic:nvPicPr>
                  <pic:blipFill>
                    <a:blip r:embed="rId1512fb33413fe9" cstate="print"/>
                    <a:stretch>
                      <a:fillRect/>
                    </a:stretch>
                  </pic:blipFill>
                  <pic:spPr>
                    <a:xfrm>
                      <a:off x="0" y="0"/>
                      <a:ext cx="2073600" cy="2044800"/>
                    </a:xfrm>
                    <a:prstGeom prst="rect">
                      <a:avLst/>
                    </a:prstGeom>
                    <a:ln w="0">
                      <a:noFill/>
                    </a:ln>
                  </pic:spPr>
                </pic:pic>
              </a:graphicData>
            </a:graphic>
          </wp:inline>
        </w:drawing>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501681">
    <w:multiLevelType w:val="hybridMultilevel"/>
    <w:lvl w:ilvl="0" w:tplc="27358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501681">
    <w:abstractNumId w:val="915016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3269920" Type="http://schemas.openxmlformats.org/officeDocument/2006/relationships/numbering" Target="numbering.xml"/><Relationship Id="rId1512fb33412d0d" Type="http://schemas.openxmlformats.org/officeDocument/2006/relationships/image" Target="media/imgrId1512fb33412d0d.gif"/><Relationship Id="rId1512fb33413fe9" Type="http://schemas.openxmlformats.org/officeDocument/2006/relationships/image" Target="media/imgrId1512fb33413fe9.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