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 CSERJÉS</w:t>
            </w:r>
          </w:p>
          <w:p w:rsidR="00C275A3" w:rsidRDefault="00A96AEC" w:rsidP="00C275A3">
            <w:pPr>
              <w:pStyle w:val="Hallgatokepzes"/>
            </w:pPr>
            <w:r>
              <w:t>architecture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FLÓRA PERÉNYI</w:t>
            </w:r>
          </w:p>
          <w:p w:rsidR="00DB4822" w:rsidRDefault="00C275A3" w:rsidP="004D7940">
            <w:pPr>
              <w:pStyle w:val="Hallgatokepzes"/>
            </w:pPr>
            <w:r>
              <w:t>architecture</w:t>
            </w:r>
            <w:r w:rsidR="00A96AEC">
              <w:br/>
              <w:t>Unified, 7.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Architecture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KRISTOF TAVASZ</w:t>
            </w:r>
          </w:p>
          <w:p w:rsidR="00C275A3" w:rsidRDefault="00A96AEC" w:rsidP="00C275A3">
            <w:pPr>
              <w:pStyle w:val="Hallgatokepzes"/>
            </w:pPr>
            <w:r>
              <w:t>architecture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József Kolossa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Case Study House # 29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solution for an easy-to-build, cheap and stylish home design found its roots in the mid 90's.</w:t>
      </w:r>
      <w:r>
        <w:rPr>
          <w:color w:val="000000"/>
          <w:sz w:val="24"/>
          <w:szCs w:val="24"/>
        </w:rPr>
        <w:br/>
        <w:t xml:space="preserve">Case study houses were experiments in American residental architecture, sponsored by Arts &amp; Architecture magazine.</w:t>
      </w:r>
      <w:r>
        <w:rPr>
          <w:color w:val="000000"/>
          <w:sz w:val="24"/>
          <w:szCs w:val="24"/>
        </w:rPr>
        <w:br/>
        <w:t xml:space="preserve">The project involved major architects of the day, big names like Neutra, Eames and Saarinen, who were commissioned to design inexpensive and efficent model homes.</w:t>
      </w:r>
      <w:r>
        <w:rPr>
          <w:color w:val="000000"/>
          <w:sz w:val="24"/>
          <w:szCs w:val="24"/>
        </w:rPr>
        <w:br/>
        <w:t xml:space="preserve">The outcome was a series of houses which in most cases resulted in an iconic look and values, still valid in contemporary architecture.</w:t>
      </w:r>
      <w:r>
        <w:rPr>
          <w:color w:val="000000"/>
          <w:sz w:val="24"/>
          <w:szCs w:val="24"/>
        </w:rPr>
        <w:br/>
        <w:t xml:space="preserve">Our plan was tho achieve similar attributions with some modern twists.</w:t>
      </w:r>
      <w:r>
        <w:rPr>
          <w:color w:val="000000"/>
          <w:sz w:val="24"/>
          <w:szCs w:val="24"/>
        </w:rPr>
        <w:br/>
        <w:t xml:space="preserve">We used a 4 by 4 grid for the basis of our layout construction, with pillars in the intersections, holding a flat roof proped by tranversed girders.</w:t>
      </w:r>
      <w:r>
        <w:rPr>
          <w:color w:val="000000"/>
          <w:sz w:val="24"/>
          <w:szCs w:val="24"/>
        </w:rPr>
        <w:br/>
        <w:t xml:space="preserve">Built-in furnitures took the place of walls, and an internal core hides the bathrooms, with a concealable kitchen.</w:t>
      </w:r>
      <w:r>
        <w:rPr>
          <w:color w:val="000000"/>
          <w:sz w:val="24"/>
          <w:szCs w:val="24"/>
        </w:rPr>
        <w:br/>
        <w:t xml:space="preserve">The logical, transparent layout offers an eternal design in the spirit of fluid spaces.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00490">
    <w:multiLevelType w:val="hybridMultilevel"/>
    <w:lvl w:ilvl="0" w:tplc="47632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00490">
    <w:abstractNumId w:val="965004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153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