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TOKOVICS FANNI</w:t>
            </w:r>
          </w:p>
          <w:p w:rsidR="00C275A3" w:rsidRDefault="00A96AEC" w:rsidP="00C275A3">
            <w:pPr>
              <w:pStyle w:val="Hallgatokepzes"/>
            </w:pPr>
            <w:r>
              <w:t>építész</w:t>
            </w:r>
            <w:r>
              <w:br/>
            </w:r>
            <w:r w:rsidR="00E77B23">
              <w:t>Osztatlan, 9.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Budapesti Műszaki és Gazdaságtudományi Egyetem</w:t>
            </w:r>
            <w:r w:rsidR="00C275A3">
              <w:br/>
            </w:r>
            <w:r w:rsidR="00DB4822">
              <w:t>Építészmérnöki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>VÁGNER BERNADETT</w:t>
            </w:r>
          </w:p>
          <w:p w:rsidR="00DB4822" w:rsidRDefault="00C275A3" w:rsidP="004D7940">
            <w:pPr>
              <w:pStyle w:val="Hallgatokepzes"/>
            </w:pPr>
            <w:r>
              <w:t>építész</w:t>
            </w:r>
            <w:r w:rsidR="00A96AEC">
              <w:br/>
              <w:t>Osztatlan, 7. félév</w:t>
            </w:r>
          </w:p>
          <w:p w:rsidR="00DB4822" w:rsidRDefault="00DB4822" w:rsidP="004D7940">
            <w:pPr>
              <w:pStyle w:val="Hallgatointezmeny-kar"/>
            </w:pPr>
            <w:r>
              <w:t>Budapesti Műszaki és Gazdaságtudományi Egyetem</w:t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>Építészmérnöki Kar</w:t>
            </w:r>
          </w:p>
        </w:tc>
      </w:tr>
    </w:tbl>
    <w:bookmarkEnd w:id="0"/>
    <w:p w:rsidR="00E77B23" w:rsidRDefault="00600471" w:rsidP="004D7940">
      <w:pPr>
        <w:pStyle w:val="Konzulensek"/>
      </w:pPr>
      <w:r>
        <w:t>Témavezetők: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Dr. Lichter Tamás</w:t>
            </w:r>
          </w:p>
          <w:p w:rsidR="00DB4822" w:rsidRDefault="00DB4822" w:rsidP="00E11062">
            <w:pPr>
              <w:pStyle w:val="Konzulensek"/>
            </w:pPr>
            <w:r w:rsidRPr="00DB4822">
              <w:t>tudományos főmunkatárs,  ICM Építőipari Vállalkozói és Kereskedelmi Kft. </w:t>
            </w:r>
          </w:p>
        </w:tc>
      </w:tr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Dr. Gyetvainé Balogh Ágnes</w:t>
            </w:r>
          </w:p>
          <w:p w:rsidR="00DB4822" w:rsidRDefault="00DB4822" w:rsidP="00E11062">
            <w:pPr>
              <w:pStyle w:val="Konzulensek"/>
            </w:pPr>
            <w:r w:rsidRPr="00DB4822">
              <w:t>egyetemi adjunktus, BME ÉSZK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Az Iparművészeti Múzeum Zsolnay pirogránit burkolatainak felújítása</w:t>
      </w:r>
      <w:r>
        <w:t xml:space="preserve"/>
      </w:r>
    </w:p>
    <w:p w:rsidR="00D71DF5" w:rsidRDefault="00D71DF5" w:rsidP="00AD2602">
      <w:pPr>
        <w:jc w:val="both"/>
      </w:pP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budapesti Iparművészeti Múzeum történeti helye, gyűjteménye és épülete miatt a nemzetközi múzeumi élet nagy presztízsű intézménye, az ország egyik emblematikus műemléke, kiemelkedő turisztikai célpontja és kulturális büszkesége.</w:t>
      </w:r>
      <w:r>
        <w:rPr>
          <w:color w:val="000000"/>
          <w:sz w:val="24"/>
          <w:szCs w:val="24"/>
        </w:rPr>
        <w:br/>
        <w:t xml:space="preserve">A 20. század háborúi, különösen 1956 harcai súlyosan megrongálták. Átfogó rekonstrukciója soha nem valósult meg, a szakszerűtlen beavatkozások mostanra kritikus, katasztrófa-közeli állapotot idéztek elő. Az épület felújítása, műemléki helyreállítása halaszthatatlan.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Az épület-felújítás szinte önálló feladata a Zsolnay burkolatok, díszítések rekonstrukciója. Az eredeti látvány megőrzése mellett újra kell gondolni az egyes burkolati elemek anyagát, rögzítését stb.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Ezért kijelenthetjük, hogy a klasszikus műemléki konzerválás helyett épületszerkezetileg kell újragondolni, és kijavítani a hiányosságokat, rögzítéseket, kiszellőztetést stb. Természetesen szükség lesz restaurátorok munkájára és szakértelemre is. A fentiek miatt ajánlott a javítandó anyag részletes vizsgálata, a javítóanyagokkal szemben támasztott követelmények elveit rögzíteni.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dolgozatban átfogóan vizsgáljuk az épületkerámiák általános használatát, valamint a Zsolnay gyár történetét, díszkerámiáit.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Részletesen a pirogránittal, annak is elsősorban az Iparművészeti Múzeumon történő alkalmazásával foglalkozunk.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Tehát a dolgozat témáját képező tárgy kutatásának oka és célja az épület felújítása, szerkezetrekonstrukciója, az eredeti építészeti állapotok visszaállítása, ugyanakkor új, korszerű szerkezet alkalmazása hatalmas munka és felemelő mérnöki feladat.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53457250">
    <w:multiLevelType w:val="hybridMultilevel"/>
    <w:lvl w:ilvl="0" w:tplc="5118109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53457250">
    <w:abstractNumId w:val="5345725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707551604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