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FEHER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Laszló Darago DLA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Relation of Nave and Apse in Early-roman Architecture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12th romanesque French provincial sacred architecture it is very common that the simple nave</w:t>
      </w:r>
      <w:r>
        <w:rPr>
          <w:color w:val="000000"/>
          <w:sz w:val="24"/>
          <w:szCs w:val="24"/>
        </w:rPr>
        <w:br/>
        <w:t xml:space="preserve">joins to a richly composed apse. The relation between these two different parts of the church plays</w:t>
      </w:r>
      <w:r>
        <w:rPr>
          <w:color w:val="000000"/>
          <w:sz w:val="24"/>
          <w:szCs w:val="24"/>
        </w:rPr>
        <w:br/>
        <w:t xml:space="preserve">important symbolic structural and practical role.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architectural element is called passage berrichon and it is tipical of the eastern and central</w:t>
      </w:r>
      <w:r>
        <w:rPr>
          <w:color w:val="000000"/>
          <w:sz w:val="24"/>
          <w:szCs w:val="24"/>
        </w:rPr>
        <w:br/>
        <w:t xml:space="preserve">territories of France in the romanesque of 12th century. This study seeks earlier examples of these</w:t>
      </w:r>
      <w:r>
        <w:rPr>
          <w:color w:val="000000"/>
          <w:sz w:val="24"/>
          <w:szCs w:val="24"/>
        </w:rPr>
        <w:br/>
        <w:t xml:space="preserve">churches in order to find the origins of this phenomenon so based on the trinity mysticism.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Observing interesting examples of ’passage-churches’ from the 8th to the 11th century it is possible</w:t>
      </w:r>
      <w:r>
        <w:rPr>
          <w:color w:val="000000"/>
          <w:sz w:val="24"/>
          <w:szCs w:val="24"/>
        </w:rPr>
        <w:br/>
        <w:t xml:space="preserve">to see their development and relations with structure, use and symbolism. The earlier is the age of</w:t>
      </w:r>
      <w:r>
        <w:rPr>
          <w:color w:val="000000"/>
          <w:sz w:val="24"/>
          <w:szCs w:val="24"/>
        </w:rPr>
        <w:br/>
        <w:t xml:space="preserve">our research, the wider is the territory where we can find similar system int he churches, showing the</w:t>
      </w:r>
      <w:r>
        <w:rPr>
          <w:color w:val="000000"/>
          <w:sz w:val="24"/>
          <w:szCs w:val="24"/>
        </w:rPr>
        <w:br/>
        <w:t xml:space="preserve">possible relations between the architecture of different cultures.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66408">
    <w:multiLevelType w:val="hybridMultilevel"/>
    <w:lvl w:ilvl="0" w:tplc="67832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66408">
    <w:abstractNumId w:val="23266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051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