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LACZO</w:t>
            </w:r>
          </w:p>
          <w:p w:rsidR="00C275A3" w:rsidRDefault="00A96AEC" w:rsidP="00C275A3">
            <w:pPr>
              <w:pStyle w:val="Hallgatokepzes"/>
            </w:pPr>
            <w:r>
              <w:t>Architectural Design</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Kalmár PhD.</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Characteristics and Self Determination of the English Romantic Theory of Architecture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English Gothic Revival was predominantly an ideological movement. From its beginnings, the English theory evolved from a close relation with social sciences and arts. In the nineteenth century the romantic novels became its main source of ideas. Theorists defined themselves as heirs to the Middle Ages, and their knowledge of architectural history always received a theoretic background.</w:t>
      </w:r>
    </w:p>
    <w:p>
      <w:pPr>
        <w:pBdr/>
        <w:spacing w:before="240" w:after="240" w:line="240" w:lineRule="auto"/>
        <w:ind w:left="0" w:right="0"/>
        <w:jc w:val="left"/>
      </w:pPr>
      <w:r>
        <w:rPr>
          <w:color w:val="000000"/>
          <w:sz w:val="24"/>
          <w:szCs w:val="24"/>
        </w:rPr>
        <w:t xml:space="preserve">My essay reflects on the process as practice became the base of the theory, which eventually became a proactive impulse of architecture. I shall examine the way historical knowledge subdued to theoretic references, and became predominant. The evolution of romantic theory shall be presented as well as its practical and theoretical potential. Direct effects shall be considered as well its thorough Englishness when describing its characteristics.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96982">
    <w:multiLevelType w:val="hybridMultilevel"/>
    <w:lvl w:ilvl="0" w:tplc="19409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96982">
    <w:abstractNumId w:val="62496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289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