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CSANADI</w:t>
            </w:r>
          </w:p>
          <w:p w:rsidR="00C275A3" w:rsidRDefault="00A96AEC" w:rsidP="00C275A3">
            <w:pPr>
              <w:pStyle w:val="Hallgatokepzes"/>
            </w:pPr>
            <w:r>
              <w:t>University of Pécs Faculty of Music and Visual Arts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 DLA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Orient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spent some days in a small town next to river Tisza it is called Csongrád. This summer camp was an art colony.</w:t>
      </w:r>
      <w:r>
        <w:rPr>
          <w:color w:val="000000"/>
          <w:sz w:val="24"/>
          <w:szCs w:val="24"/>
        </w:rPr>
        <w:br/>
        <w:t xml:space="preserve">The edification of this time: to prepair accurately before the action of the painting. I mean , to search the shades, and coordinate the colours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15171">
    <w:multiLevelType w:val="hybridMultilevel"/>
    <w:lvl w:ilvl="0" w:tplc="13175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15171">
    <w:abstractNumId w:val="69415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6358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