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BOGNÁR ALEXANDRA</w:t>
            </w:r>
          </w:p>
          <w:p w:rsidR="00C275A3" w:rsidRDefault="00A96AEC" w:rsidP="00C275A3">
            <w:pPr>
              <w:pStyle w:val="Hallgatokepzes"/>
            </w:pPr>
            <w:r>
              <w:t/>
            </w:r>
            <w:r>
              <w:br/>
            </w:r>
            <w:r w:rsidR="00E77B23">
              <w:t>Osztatlan, 5.  félév</w:t>
            </w:r>
          </w:p>
          <w:p w:rsidR="00C265CE" w:rsidRPr="009E5FF1" w:rsidRDefault="00E77B23" w:rsidP="00C275A3">
            <w:pPr>
              <w:pStyle w:val="Hallgatokepzes"/>
              <w:rPr>
                <w:b/>
                <w:caps/>
              </w:rPr>
            </w:pPr>
            <w:r>
              <w:t>Károli Gáspár Református 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Deres Petronella</w:t>
            </w:r>
          </w:p>
          <w:p w:rsidR="00DB4822" w:rsidRDefault="00DB4822" w:rsidP="00E11062">
            <w:pPr>
              <w:pStyle w:val="Konzulensek"/>
            </w:pPr>
            <w:r w:rsidRPr="00DB4822">
              <w:t>tanár,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A disszociatív identitászavarban szenvedő bűnelkövetők nyomában, avagy a disszociatív identitászavar kriminológiai értékelése</w:t>
      </w:r>
    </w:p>
    <w:p w:rsidR="00D71DF5" w:rsidRDefault="00D71DF5" w:rsidP="00AD2602">
      <w:pPr>
        <w:jc w:val="both"/>
      </w:pPr>
    </w:p>
    <w:p>
      <w:pPr>
        <w:pBdr/>
        <w:spacing w:before="240" w:after="240" w:line="240" w:lineRule="auto"/>
        <w:ind w:left="0" w:right="0"/>
        <w:jc w:val="left"/>
      </w:pPr>
      <w:r>
        <w:rPr>
          <w:color w:val="000000"/>
          <w:sz w:val="24"/>
          <w:szCs w:val="24"/>
        </w:rPr>
        <w:t xml:space="preserve">Ezen tanulmány során azon kérdésre keressük a választ, hogy kik minősülnek disszociatív identitászavarban szenvedő személyeknek, illetve hogyan értékeljük, ha ők követnek el bűncselekményt. Ahhoz, hogy ezen kérdésekre választ tudjunk adni, először meg kell határoznunk, hogy pontosan mit is takar ez az elnevezés: mit jelent maga a fogalom, hova helyezik el a különböző szaktudományok, miként értékelik. Ezután azt kell vizsgálnunk, hogy vajon a mentális zavarban szenvedők - ide értve azokat is, akik nem követnek el bűncselekményt - veszélyt jelentenek-e a társadalomra. Azok viszont, akik eljutnak bűncselekmény elkövetéséhez, azoknál az elkövető személyiségének fejlődését kell megismernünk, hiszen ahhoz, hogy a bűnmegelőzés lehetséges módszereire ajánlásokat tudjunk tenni, szükséges, hogy megismerjük hogyan is jutottak el idáig. Hogyan előzhető meg - illetve megelőzhető-e egyáltalán - az erőszakos bűncselekmény (legfőképp az emberölés) elkövetése disszociatív identitászavarban szenvedő személyeknél?</w:t>
      </w:r>
    </w:p>
    <w:p>
      <w:pPr>
        <w:pBdr/>
        <w:spacing w:before="240" w:after="240" w:line="240" w:lineRule="auto"/>
        <w:ind w:left="0" w:right="0"/>
        <w:jc w:val="left"/>
      </w:pPr>
      <w:r>
        <w:rPr>
          <w:color w:val="000000"/>
          <w:sz w:val="24"/>
          <w:szCs w:val="24"/>
        </w:rPr>
        <w:t xml:space="preserve">Mennyire fontos tényező fejlődésük során az őket körülvevő miliő? Vajon a szűkebb (mikro-) vagy a tágabb (makro-) környezet hatása jelentősebb? Nélkülözhetetlen-e, hogy a társadalom tisztában legyen azzal, hogy léteznek disszociatív zavarban élő emberek, mi a betegség ismérve, milyen tünetekkel jár? Mennyire játszanak kulcsfontosságú szerepet az orvosok (pszichológusok, pszichiáterek) ezen emberek zavarának felismerésében, kezelésében, esetleges gyógyításában? A bűnös - nem bűnös, felelős - nem felelős kérdések kapcsán hogyan értékelünk? Ki okolható? Ki vádolható?</w:t>
      </w:r>
    </w:p>
    <w:p>
      <w:pPr>
        <w:pBdr/>
        <w:spacing w:before="240" w:after="240" w:line="240" w:lineRule="auto"/>
        <w:ind w:left="0" w:right="0"/>
        <w:jc w:val="left"/>
      </w:pPr>
      <w:r>
        <w:rPr>
          <w:color w:val="000000"/>
          <w:sz w:val="24"/>
          <w:szCs w:val="24"/>
        </w:rPr>
        <w:t xml:space="preserve">A tanulmány során - a magyar kutatások hiányából adódóan - nemzetközi vizsgálatok, kutatások eredményeit és bírósági döntvényeket egyaránt alapul veszünk. Ezeken túl, helyenként - kizárólag szemléltető példaként - olyan filmeket és könyveket is említünk, amik vélt vagy valós disszociatív zavarban szenvedő egyéneket mutatnak be.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557750">
    <w:multiLevelType w:val="hybridMultilevel"/>
    <w:lvl w:ilvl="0" w:tplc="638764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557750">
    <w:abstractNumId w:val="6855775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6865907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