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BOGNAR</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After offenders suffering from dissociative identity disorder, in other words, a criminological approach towards dissociative identity disorder</w:t>
      </w:r>
    </w:p>
    <w:p w:rsidR="00D71DF5" w:rsidRDefault="00D71DF5" w:rsidP="00AD2602">
      <w:pPr>
        <w:jc w:val="both"/>
      </w:pPr>
    </w:p>
    <w:p>
      <w:pPr>
        <w:pBdr/>
        <w:spacing w:before="240" w:after="240" w:line="240" w:lineRule="auto"/>
        <w:ind w:left="0" w:right="0"/>
        <w:jc w:val="left"/>
      </w:pPr>
      <w:r>
        <w:rPr>
          <w:color w:val="000000"/>
          <w:sz w:val="24"/>
          <w:szCs w:val="24"/>
        </w:rPr>
        <w:t xml:space="preserve">This paper presents a discussion on people suffering from dissociative identity disorder and the controversial standpoints of their criminal responsibility. Prior to the challenge of previously highlighted difficulties - that both health and legal systems face - the expression itself has to be determined: what it means, how different sciences categorize and conceptualize it. Then, the notion of 'risk' shall be evaluated: whether those suffering from mental disorders - including the ones who do not commit offences - are dangerous for the society. However, in case of individuals who have already broken the law, the development of their personality shall be recognized, unless recommendation on crime forestall could not be provided. If prevention is feasible than the question of 'applicable methodology' arises: how it is possible to prevent people with dissociative identity disorder from becoming violent - especially homicidal - offenders.</w:t>
      </w:r>
    </w:p>
    <w:p>
      <w:pPr>
        <w:pBdr/>
        <w:spacing w:before="240" w:after="240" w:line="240" w:lineRule="auto"/>
        <w:ind w:left="0" w:right="0"/>
        <w:jc w:val="left"/>
      </w:pPr>
      <w:r>
        <w:rPr>
          <w:color w:val="000000"/>
          <w:sz w:val="24"/>
          <w:szCs w:val="24"/>
        </w:rPr>
        <w:t xml:space="preserve">How the importance or relevance of the surrounding milieu during one's upbringing shall be objected? Is it the narrower (micro) or the broader (macro) environment that exerts deeper influence? As for the society, is it genuinely essential to be aware of the existence of such dissociative "illness" and at the same time, be able to identify the disorder, know the symptoms? What role shall doctors (psychologists, psychiatrists) play in recognition, treatment or potential rehabilitation? What is the proper approach to the vexing (criminal law) dilemmas of guilty - not guilty, responsible - nonresponsible? Who can be blamed? Who can be accused? ...or who should be charged?</w:t>
      </w:r>
    </w:p>
    <w:p>
      <w:pPr>
        <w:pBdr/>
        <w:spacing w:before="240" w:after="240" w:line="240" w:lineRule="auto"/>
        <w:ind w:left="0" w:right="0"/>
        <w:jc w:val="left"/>
      </w:pPr>
      <w:r>
        <w:rPr>
          <w:color w:val="000000"/>
          <w:sz w:val="24"/>
          <w:szCs w:val="24"/>
        </w:rPr>
        <w:t xml:space="preserve">To address the gap caused by the absence of any sort of literature ever published in Hungarian, international studies, researches and court decisions are reviewed. Additionally, in some cases movies and books dealing with people suffering from real or putative dissociative identity disorder - as illustrative examples - are 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88996">
    <w:multiLevelType w:val="hybridMultilevel"/>
    <w:lvl w:ilvl="0" w:tplc="86611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88996">
    <w:abstractNumId w:val="15888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458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