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ALEXANDRA</w:t>
            </w:r>
          </w:p>
          <w:p w:rsidR="00C275A3" w:rsidRDefault="00A96AEC" w:rsidP="00C275A3">
            <w:pPr>
              <w:pStyle w:val="Hallgatokepzes"/>
            </w:pPr>
            <w:r>
              <w:t>Jogász Szak</w:t>
            </w:r>
            <w:r>
              <w:br/>
            </w:r>
            <w:r w:rsidR="00E77B23">
              <w:t>Osztatlan, 5.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Deres Petronella</w:t>
            </w:r>
          </w:p>
          <w:p w:rsidR="00DB4822" w:rsidRDefault="00DB4822" w:rsidP="00E11062">
            <w:pPr>
              <w:pStyle w:val="Konzulensek"/>
            </w:pPr>
            <w:r w:rsidRPr="00DB4822">
              <w:t>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disszociatív identitászavarban szenvedő bűnelkövetők nyomában, avagy a disszociatív identitászavar kriminológiai értékelése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Ezen tanulmány során azon kérdésre keressük a választ, hogy kik minősülnek disszociatív identitászavarban szenvedő személyeknek, illetve hogyan értékeljük, ha ők követnek el bűncselekményt. Ahhoz, hogy ezen kérdésekre választ tudjunk adni, először meg kell határoznunk, hogy pontosan mit is takar ez az elnevezés: mit jelent maga a fogalom, hova helyezik el a különböző szaktudományok, miként értékelik. Ezután azt kell vizsgálnunk, hogy vajon a mentális zavarban szenvedők - ide értve azokat is, akik nem követnek el bűncselekményt - veszélyt jelentenek-e a társadalomra. Azok viszont, akik eljutnak bűncselekmény elkövetéséhez, azoknál az elkövető személyiségének fejlődését kell megismernünk, hiszen ahhoz, hogy a bűnmegelőzés lehetséges módszereire ajánlásokat tudjunk tenni, szükséges, hogy megismerjük hogyan is jutottak el idáig. Hogyan előzhető meg - illetve megelőzhető-e egyáltalán - az erőszakos bűncselekmény (legfőképp az emberölés) elkövetése disszociatív identitászavarban szenvedő személyeknél?</w:t>
      </w:r>
    </w:p>
    <w:p>
      <w:pPr>
        <w:pBdr/>
        <w:spacing w:before="240" w:after="240" w:line="240" w:lineRule="auto"/>
        <w:ind w:left="0" w:right="0"/>
        <w:jc w:val="left"/>
      </w:pPr>
      <w:r>
        <w:rPr>
          <w:color w:val="000000"/>
          <w:sz w:val="24"/>
          <w:szCs w:val="24"/>
        </w:rPr>
        <w:t xml:space="preserve">Mennyire fontos tényező fejlődésük során az őket körülvevő miliő? Vajon a szűkebb (mikro-) vagy a tágabb (makro-) környezet hatása jelentősebb? Nélkülözhetetlen-e, hogy a társadalom tisztában legyen azzal, hogy léteznek disszociatív zavarban élő emberek, mi a betegség ismérve, milyen tünetekkel jár? Mennyire játszanak kulcsfontosságú szerepet az orvosok (pszichológusok, pszichiáterek) ezen emberek zavarának felismerésében, kezelésében, esetleges gyógyításában? A bűnös - nem bűnös, felelős - nem felelős kérdések kapcsán hogyan értékelünk? Ki okolható? Ki vádolható?</w:t>
      </w:r>
    </w:p>
    <w:p>
      <w:pPr>
        <w:pBdr/>
        <w:spacing w:before="240" w:after="240" w:line="240" w:lineRule="auto"/>
        <w:ind w:left="0" w:right="0"/>
        <w:jc w:val="left"/>
      </w:pPr>
      <w:r>
        <w:rPr>
          <w:color w:val="000000"/>
          <w:sz w:val="24"/>
          <w:szCs w:val="24"/>
        </w:rPr>
        <w:t xml:space="preserve">A tanulmány során - a magyar kutatások hiányából adódóan - nemzetközi vizsgálatok, kutatások eredményeit és bírósági döntvényeket egyaránt alapul veszünk. Ezeken túl, helyenként - kizárólag szemléltető példaként - olyan filmeket és könyveket is említünk, amik vélt vagy valós disszociatív zavarban szenvedő egyéneket mutatnak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6347">
    <w:multiLevelType w:val="hybridMultilevel"/>
    <w:lvl w:ilvl="0" w:tplc="50862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6347">
    <w:abstractNumId w:val="85206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993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