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TISZAI</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Tóth</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Hungarian products in the Hungarian Competition Authority's cases</w:t>
      </w:r>
    </w:p>
    <w:p w:rsidR="00D71DF5" w:rsidRDefault="00D71DF5" w:rsidP="00AD2602">
      <w:pPr>
        <w:jc w:val="both"/>
      </w:pPr>
    </w:p>
    <w:p>
      <w:pPr>
        <w:pBdr/>
        <w:spacing w:before="240" w:after="240" w:line="240" w:lineRule="auto"/>
        <w:ind w:left="0" w:right="0"/>
        <w:jc w:val="left"/>
      </w:pPr>
      <w:r>
        <w:rPr>
          <w:color w:val="000000"/>
          <w:sz w:val="24"/>
          <w:szCs w:val="24"/>
        </w:rPr>
        <w:t xml:space="preserve">During my research I examined the case law of the Competition Authority, the Hungarian-products cases. My goal is to draw attention to this issue arising, because as the practice shows, in some cases, the Competition Council had investigated abuses with the Hungarian labels.</w:t>
      </w:r>
      <w:r>
        <w:rPr>
          <w:color w:val="000000"/>
          <w:sz w:val="24"/>
          <w:szCs w:val="24"/>
        </w:rPr>
        <w:br/>
        <w:t xml:space="preserve">These abuses raise a complex issue, as not only the deception of consumers, but also the Hungarian products and Hungarian farmer's livelihood is hampered, which is why in recent years the two proposed regulations have been made, which have been adopted in the Hungarian products and hungaricums protection.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To illustrate this I am about to introduce the marketing of the Hungarian products, and consumer buying habits, as the statistics in the last few years shows an increased demand for domestic goods which is not ignored by merchants too.</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Before I switch to the specific cases in my dissertation, which the GVH had to deal with, I will continuously explore the issues that are deemed to history, as they show similarity in some on their elements. From this one can track, how the process developed that the GVH uses in the Hungarian products cases.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By the time of writing this dissertation there was four cases where the Competition Council is required to act.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These cases were against the following retailers: CBA, Aldi, Spaar, Auchan.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each case, the Competition Council and the Prosecution's also been formulated, what is to be understood under the Hungarian product. Which is not a whole can be said to have been corroborated as stringent criteria as the Hungarian product regulation.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regulation is a new challenge for the GVH because it contains contradictory provisions that are inconsistent with the Fttv. provisions. The biggest problem is that it includes a one-year grace period for the application of Hungarian product labels. This allows the distributors to use the labels in the packaging of the products until 2013th September, despite the fact that it does not comply with the provisions set out by Hungarian product criteria. On this basis, we encounter a contradiction because while the Fttv. prevent consumers from being misled, the edict permits the distributors the use of Hungarian product labels during the transition period.</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026164">
    <w:multiLevelType w:val="hybridMultilevel"/>
    <w:lvl w:ilvl="0" w:tplc="788193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026164">
    <w:abstractNumId w:val="510261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74905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