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TISZAI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Tóth</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products in the Hungarian Competition Authority's cases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I examined the case law of the Competition Authority, the Hungarian-products cases. My goal is to draw attention to this issue arising, because as the practice shows, in some cases, the Competition Council had investigated abuses with the Hungarian labels.</w:t>
      </w:r>
      <w:r>
        <w:rPr>
          <w:color w:val="000000"/>
          <w:sz w:val="24"/>
          <w:szCs w:val="24"/>
        </w:rPr>
        <w:br/>
        <w:t xml:space="preserve">These abuses raise a complex issue, as not only the deception of consumers, but also the Hungarian products and Hungarian farmer's livelihood is hampered, which is why in recent years the two proposed regulations have been made, which have been adopted in the Hungarian products and hungaricums protection.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illustrate this I am about to introduce the marketing of the Hungarian products, and consumer buying habits, as the statistics in the last few years shows an increased demand for domestic goods which is not ignored by merchants too.</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Before I switch to the specific cases in my dissertation, which the GVH had to deal with, I will continuously explore the issues that are deemed to history, as they show similarity in some on their elements. From this one can track, how the process developed that the GVH uses in the Hungarian products cases.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time of writing this dissertation there was four cases where the Competition Council is required to act.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These cases were against the following retailers: CBA, Aldi, Spaar, Auchan.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each case, the Competition Council and the Prosecution's also been formulated, what is to be understood under the Hungarian product. Which is not a whole can be said to have been corroborated as stringent criteria as the Hungarian product regulation.</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regulation is a new challenge for the GVH because it contains contradictory provisions that are inconsistent with the Fttv. provisions. The biggest problem is that it includes a one-year grace period for the application of Hungarian product labels. This allows the distributors to use the labels in the packaging of the products until 2013th September, despite the fact that it does not comply with the provisions set out by Hungarian product criteria. On this basis, we encounter a contradiction because while the Fttv. prevent consumers from being misled, the edict permits the distributors the use of Hungarian product labels during the transition period.</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92677">
    <w:multiLevelType w:val="hybridMultilevel"/>
    <w:lvl w:ilvl="0" w:tplc="45215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92677">
    <w:abstractNumId w:val="682926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624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