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MEKLER KINGA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Udvari Sándor</w:t>
            </w:r>
          </w:p>
          <w:p w:rsidR="00DB4822" w:rsidRDefault="00DB4822" w:rsidP="00E11062">
            <w:pPr>
              <w:pStyle w:val="Konzulensek"/>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emberi méltóság a médiában, különös tekintettel az ORTT és a Médiatanács gyakorlatára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három alapjog a véleményszabadság, a sajtószabadság és az emberi méltóság történeti és elméleti megközelítéseiből táplálkozva az emberi méltóság média területét érintő kérdéseivel foglalkozik. A három alapjog közös vonása, hogy a demokrácia esszenciális feltételei, azonban az is kétségtelen, hogy a szóban forgó jogok nem abszolút érvényűek, s korlátozásukra legtöbbször pont a demokratikus értékek védelme érdekében van szükség.</w:t>
      </w:r>
    </w:p>
    <w:p>
      <w:pPr>
        <w:widowControl w:val="on"/>
        <w:pBdr/>
        <w:spacing w:before="240" w:after="240" w:line="240" w:lineRule="auto"/>
        <w:ind w:left="0" w:right="0"/>
        <w:jc w:val="left"/>
      </w:pPr>
      <w:r>
        <w:rPr>
          <w:color w:val="000000"/>
          <w:sz w:val="24"/>
          <w:szCs w:val="24"/>
        </w:rPr>
        <w:t xml:space="preserve">A véleményszabadságból kiváló és ebből viszonylagosan önállóvá váló jog, a sajtószabadság korlátait tárom fel, ezen belül is azokat az eseteket vizsgálom, ahol az emberi méltóság olyan mértékben sérül, hogy ez a vele szemben álló alapjog meghátrálását eredményezi. Az elképzelésem, hogy a sajtószabadság korlátait meglehetősen nehéz feltárni, a dolgozat során többször bebizonyosodott.</w:t>
      </w:r>
    </w:p>
    <w:p>
      <w:pPr>
        <w:widowControl w:val="on"/>
        <w:pBdr/>
        <w:spacing w:before="240" w:after="240" w:line="240" w:lineRule="auto"/>
        <w:ind w:left="0" w:right="0"/>
        <w:jc w:val="left"/>
      </w:pPr>
      <w:r>
        <w:rPr>
          <w:color w:val="000000"/>
          <w:sz w:val="24"/>
          <w:szCs w:val="24"/>
        </w:rPr>
        <w:t xml:space="preserve">Az emberi méltóság sérelme a médiában hétköznapi jelenség, orvoslására két mód létezik. Az egyik a közösségi érdekeket előtérbe helyező médiahatósági eljárás, egyéni érdekvédelmi eszközként pedig a bírói út ismert. A felhasznált jogesetek csoportosításával kirajzolódik egy rendszer, amely mentén könnyebben elhatárolható egymástól az egyéni jogérvényesítés és az intézményes jogvédelem, viszont ezzel sem áll elő egyértelműen átlátható joggyakorlat. Egyrészt ennek okát abban véltem felfedezni, hogy a médiaszabályozó hatóság döntései között találunk jó pár példát arra, amikor a testület egyéni jogsérelemre alapozta eljárását. Másrészt, hogyha ettől a ténytől el is tekintünk, a dolgozatban felvázolt csoportosítással sem merül ki az emberi méltóság sérelmének mindenegyes lehetősége. Így a jogalkalmazó az egyedi esetek alapos vizsgálatával juthat csak arra a következtetésre, hogy az emberi méltóság védelmét a sajtószabadság fölé emeli.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40029">
    <w:multiLevelType w:val="hybridMultilevel"/>
    <w:lvl w:ilvl="0" w:tplc="71356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40029">
    <w:abstractNumId w:val="87640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3847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