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LEHOCZKI</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Kun</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Problems of youth employment- aspects of labour market policies, education and labour law</w:t>
      </w:r>
    </w:p>
    <w:p w:rsidR="00D71DF5" w:rsidRDefault="00D71DF5" w:rsidP="00AD2602">
      <w:pPr>
        <w:jc w:val="both"/>
      </w:pPr>
    </w:p>
    <w:p>
      <w:pPr>
        <w:pBdr/>
        <w:spacing w:before="240" w:after="240" w:line="240" w:lineRule="auto"/>
        <w:ind w:left="0" w:right="0"/>
        <w:jc w:val="left"/>
      </w:pPr>
      <w:r>
        <w:rPr>
          <w:color w:val="000000"/>
          <w:sz w:val="24"/>
          <w:szCs w:val="24"/>
        </w:rPr>
        <w:t xml:space="preserve">After the global economic crises, beginning in 2008, the youth unemployment rate has multiplied. Young people have lost their jobs and due to constriction of labour markets lot of school-leavers can not find a workplace because of lack of work experiences and difficulties in school-to-work transition. This is a very actual problem: to mitigate this challenge, various proposals and policies are made both in international and national level. The aim of my thesis is to introduce the main directions of such proposals, action plans and their effectiveness. Because of the multidisciplinary nature of this problem, it is self-evidently required to write about efforts in another related policy-areas (e.g.: education policy, employment policy) besides labour law.</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My thesis can be devided into four major parts. First, there is an overview of the international situation about youth employment and unemployment trends. Nowadays this is a global problem and I would like to discuss the international organizations’ recommendations which aim to solve the negative situation of youth in the labour market. The next two chapters are about education policy and employment policy which is mainly characterized by the description actual policy measures. In the last part of the study I am looking for an answer whether labour law regulations might be an effective tool to reduce youth unemployment. Several new atypical forms of employment have been included in the new Labour Code of Hungary (e.g.: on-call employment, job-sharing and employment established by multiple employers). Flexibility of these forms may facilitate the youth employment as well. Especially temporary agency work of students and the specific, new employment relationships between School Cooperatives and their members leave many problematic questions open. For instance, the EU-law conformity of the regulations of the new Labour Code on School Cooperatives might be questionable, and also the extraordinary public financial support (tax and contribution allowances) for School Cooperatives are not without debates.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During my research I came to the conclusion that labour law itself is certainly not a sufficient tool to solve youth unemployment. Co-ordination of number of inter-related policies (such as education, employment policy) is required. Furthermore, besides legal regulations, other incentives are clearly needed (e.g.: financial, attitudinal) to improve the labour market situation of young people.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41552">
    <w:multiLevelType w:val="hybridMultilevel"/>
    <w:lvl w:ilvl="0" w:tplc="26856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41552">
    <w:abstractNumId w:val="269415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04429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