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HÉDER ÁKOS</w:t>
            </w:r>
          </w:p>
          <w:p w:rsidR="00C275A3" w:rsidRDefault="00A96AEC" w:rsidP="00C275A3">
            <w:pPr>
              <w:pStyle w:val="Hallgatokepzes"/>
            </w:pPr>
            <w:r>
              <w:t>Law</w:t>
            </w:r>
            <w:r>
              <w:br/>
            </w:r>
            <w:r w:rsidR="00E77B23">
              <w:t>Osztatlan, 3.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Zsolt</w:t>
            </w:r>
          </w:p>
          <w:p w:rsidR="00DB4822" w:rsidRDefault="00DB4822" w:rsidP="00E11062">
            <w:pPr>
              <w:pStyle w:val="Konzulensek"/>
            </w:pPr>
            <w:r w:rsidRPr="00DB4822">
              <w:t>egyetemi tanársegéd, KRE ÁJK</w:t>
            </w:r>
          </w:p>
        </w:tc>
      </w:tr>
      <w:tr w:rsidR="00DB4822" w:rsidTr="00DB4822">
        <w:tc>
          <w:tcPr>
            <w:tcW w:w="9854" w:type="dxa"/>
          </w:tcPr>
          <w:p w:rsidR="00DB4822" w:rsidRPr="00DB4822" w:rsidRDefault="00DB4822" w:rsidP="004D7940">
            <w:pPr>
              <w:pStyle w:val="Konzulensek"/>
            </w:pPr>
            <w:r w:rsidRPr="00DB4822">
              <w:t>Dr. Kukorelli István</w:t>
            </w:r>
          </w:p>
          <w:p w:rsidR="00DB4822" w:rsidRDefault="00DB4822" w:rsidP="00E11062">
            <w:pPr>
              <w:pStyle w:val="Konzulensek"/>
            </w:pPr>
            <w:r w:rsidRPr="00DB4822">
              <w:t>egyetemi tanár,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Elbától keletre (A volt szocialista országok alkotmány-preambulumainak összehasonlító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2012. január 1-jén hatályba lépett Magyarország Alaptörvénye, mely elődjéhez képest tartalmasabb preambulumot tartalmaz. A Nemzeti Hitvallás létrejötte okot és lehetőséget adott arra, hogy más hasonló múltú országok alkotmány bevezetőjével összehasonlítsuk. Szűcs Jenő Vázlat Európa három történeti régiójáról című könyvében egy sajátos, Európa nyugati és keleti térsége közé beékelődő, mindkét terület vonásait magában hordozó régiót állapított meg. Magyarország, bár az Európai Unió tagja, az azon belül lévő nagy régiós különbségek és a történelmi deficit miatt a fejlettebb tagállamokkal való összehasonítása nem vezet reális eredményre.</w:t>
      </w:r>
    </w:p>
    <w:p>
      <w:pPr>
        <w:pBdr/>
        <w:spacing w:before="240" w:after="240" w:line="240" w:lineRule="auto"/>
        <w:ind w:left="0" w:right="0"/>
        <w:jc w:val="left"/>
      </w:pPr>
      <w:r>
        <w:rPr>
          <w:color w:val="000000"/>
          <w:sz w:val="24"/>
          <w:szCs w:val="24"/>
        </w:rPr>
        <w:t xml:space="preserve">Dolgozatom célja, mint ahogy az a címben is olvasható, az Elbától keletre, azaz a korábbi szocialista országok alkotmány-preambulumainak összehasonlítása. A kérdés az, hogy a közös múlt és a térség egyedisége a preambulumokban is tükröződik-e. Beszélhetünk-e valamiféle régiós mintáról? A vizsgált államok azon volt kommunista és szocialista berendezkedésű európai országok, melyek jelenleg az Európai Unió tagjai, illetve azon országok, akik nem az unió tagjai, de jövőjüket az unión belül képzelik el.</w:t>
      </w:r>
    </w:p>
    <w:p>
      <w:pPr>
        <w:pBdr/>
        <w:spacing w:before="240" w:after="240" w:line="240" w:lineRule="auto"/>
        <w:ind w:left="0" w:right="0"/>
        <w:jc w:val="left"/>
      </w:pPr>
      <w:r>
        <w:rPr>
          <w:color w:val="000000"/>
          <w:sz w:val="24"/>
          <w:szCs w:val="24"/>
        </w:rPr>
        <w:t xml:space="preserve">Pályaművem második fejezetében áttekintem az alkotmány fogalmát, valamint az érintett országok alkotmányfejlődését és a szocialista alkotmányok preambulumait. Az ezt követő rész, ami a pályamunka gerincét adja, formai és tartalmi szempontok szerint hasonlóságokat, illetve különbségeket keresek az említett térség országainak alkotmány-preambulumai között.</w:t>
      </w:r>
    </w:p>
    <w:p>
      <w:pPr>
        <w:pBdr/>
        <w:spacing w:before="240" w:after="240" w:line="240" w:lineRule="auto"/>
        <w:ind w:left="0" w:right="0"/>
        <w:jc w:val="left"/>
      </w:pPr>
      <w:r>
        <w:rPr>
          <w:color w:val="000000"/>
          <w:sz w:val="24"/>
          <w:szCs w:val="24"/>
        </w:rPr>
        <w:t xml:space="preserve">Végezetül dolgozatomat a preambulumok rendszerváltozás előtti és utáni normativitásának vizsgálatával, illetve az alkotmánybírósági ítéletekben megjelenő preambulum tartalom összegzésével zárom. Magyarországon lezajlott alkotmányozás folytán e téma aktualitása kétségtelen, amely egyben új lendületet is adott a preambulumok kutatásának. A dolgozatomnak nem célja az egyes preambulumokat minősíteni semmilyen szempontból, ugyanakkor remélem, hogy e pályamű ösztönzőleg hat, illetve segíti valamiféle vélemény kialakítását.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43044">
    <w:multiLevelType w:val="hybridMultilevel"/>
    <w:lvl w:ilvl="0" w:tplc="85693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43044">
    <w:abstractNumId w:val="57543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202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