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HEDER</w:t>
            </w:r>
          </w:p>
          <w:p w:rsidR="00C275A3" w:rsidRDefault="00A96AEC" w:rsidP="00C275A3">
            <w:pPr>
              <w:pStyle w:val="Hallgatokepzes"/>
            </w:pPr>
            <w:r>
              <w:t>Jurist</w:t>
            </w:r>
            <w:r>
              <w:br/>
            </w:r>
            <w:r w:rsidR="00E77B23">
              <w:t>Unified, 3.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Szabo, Dr.</w:t>
            </w:r>
          </w:p>
          <w:p w:rsidR="00DB4822" w:rsidRDefault="00DB4822" w:rsidP="00E11062">
            <w:pPr>
              <w:pStyle w:val="Konzulensek"/>
            </w:pPr>
            <w:r w:rsidRPr="00DB4822">
              <w:t>professor’s assistant, KRE ÁJK</w:t>
            </w:r>
          </w:p>
        </w:tc>
      </w:tr>
      <w:tr w:rsidR="00DB4822" w:rsidTr="00DB4822">
        <w:tc>
          <w:tcPr>
            <w:tcW w:w="9854" w:type="dxa"/>
          </w:tcPr>
          <w:p w:rsidR="00DB4822" w:rsidRPr="00DB4822" w:rsidRDefault="00DB4822" w:rsidP="004D7940">
            <w:pPr>
              <w:pStyle w:val="Konzulensek"/>
            </w:pPr>
            <w:r w:rsidRPr="00DB4822">
              <w:t>Istvan Kukorelli, Dr.</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East-bound from the Elbe. Comparing analysis of the post-socialist countries' preamble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Fundamental Law of Hungary came into force 1 January 2012, which includes a pithier preamble. The creation of the National Avowal gave grounds and scope for contrasting it with other countries’ preamble. Jenő Szűcs in his book: The Three Historical Regions of Europe: An Outline settled a special region that is inserted in the East and West side of Eurpe and contains some traits of both. Though Hungary is a member of the European Union, it would not have a real result to compare it with other more developped member states because of the regional differences.</w:t>
      </w:r>
    </w:p>
    <w:p>
      <w:pPr>
        <w:pBdr/>
        <w:spacing w:before="240" w:after="240" w:line="240" w:lineRule="auto"/>
        <w:ind w:left="0" w:right="0"/>
        <w:jc w:val="left"/>
      </w:pPr>
      <w:r>
        <w:rPr>
          <w:color w:val="000000"/>
          <w:sz w:val="24"/>
          <w:szCs w:val="24"/>
        </w:rPr>
        <w:t xml:space="preserve">The goal of my essay is to compare the preambles of the post-communist states, east-boud from the Elbe. The question is, if the common past and the unique of this region reflects in the preambles. Is there any regional model? The examined states are those post-communist and post-socialist european countries which are members of the European Union or which ones wish to connect.</w:t>
      </w:r>
    </w:p>
    <w:p>
      <w:pPr>
        <w:pBdr/>
        <w:spacing w:before="240" w:after="240" w:line="240" w:lineRule="auto"/>
        <w:ind w:left="0" w:right="0"/>
        <w:jc w:val="left"/>
      </w:pPr>
      <w:r>
        <w:rPr>
          <w:color w:val="000000"/>
          <w:sz w:val="24"/>
          <w:szCs w:val="24"/>
        </w:rPr>
        <w:t xml:space="preserve">In the second chapter of my essay I survay the meaning of constitution, the developement of constitution of the concerned states and the socialist preambles. In the next segment of this document I search for formal and structural resemblances and differences between the preambles of the states of the mentioned region.</w:t>
      </w:r>
    </w:p>
    <w:p>
      <w:pPr>
        <w:pBdr/>
        <w:spacing w:before="240" w:after="240" w:line="240" w:lineRule="auto"/>
        <w:ind w:left="0" w:right="0"/>
        <w:jc w:val="left"/>
      </w:pPr>
      <w:r>
        <w:rPr>
          <w:color w:val="000000"/>
          <w:sz w:val="24"/>
          <w:szCs w:val="24"/>
        </w:rPr>
        <w:t xml:space="preserve">Terminally, I finish my essay with the examination of the normativity of the preambles before and after the end of the communist regime and the contents of preamble in the decisions of the Constitutional Court. This issue is actual because of the process of creating constitution in Hungary and it exhilarated the research of preambles. It is not the aim of my essay to qualify the preambles in any aspect, though I hope this composition motivates others and helps to create some opinion.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54313">
    <w:multiLevelType w:val="hybridMultilevel"/>
    <w:lvl w:ilvl="0" w:tplc="30838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54313">
    <w:abstractNumId w:val="89054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127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