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CSEVÁR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Rixer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actuality of the achievements of the historical constitution in the light of the fundemental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constituent legislator always aims for the best solution to create something new. With the Section “R” paragraph (3) of the new Fundamental Law of Hungary the legislator’s objective was to establish a new method for the interpretation of law in the new fundamental charter of Hungary to directly use our European legal customs.</w:t>
      </w:r>
    </w:p>
    <w:p>
      <w:pPr>
        <w:pBdr/>
        <w:spacing w:before="240" w:after="240" w:line="240" w:lineRule="auto"/>
        <w:ind w:left="0" w:right="0"/>
        <w:jc w:val="left"/>
      </w:pPr>
      <w:r>
        <w:rPr>
          <w:color w:val="000000"/>
          <w:sz w:val="24"/>
          <w:szCs w:val="24"/>
        </w:rPr>
        <w:t xml:space="preserve">Many legal expert and lawyer thinks of the Section “R” paragraph (3) of the new Fundamental Law as a step back on the field of legal continuity and the rule of law. It is indeed uncommon to adopt a reference to the achievements of the historical constitution in the charter constitution of a country. By this concept we don’t mean the historical constitution as a whole but only its achievements. The word “achievement” is already a filter towards the content of the historical constitution. This filter assures that only the good, positive, promoting and democratic institutions can appear as the living instruments of our legal system.</w:t>
      </w:r>
    </w:p>
    <w:p>
      <w:pPr>
        <w:pBdr/>
        <w:spacing w:before="240" w:after="240" w:line="240" w:lineRule="auto"/>
        <w:ind w:left="0" w:right="0"/>
        <w:jc w:val="left"/>
      </w:pPr>
      <w:r>
        <w:rPr>
          <w:color w:val="000000"/>
          <w:sz w:val="24"/>
          <w:szCs w:val="24"/>
        </w:rPr>
        <w:t xml:space="preserve">Section “R” paragraph (3) of the new Fundamental Law divides the legal experts’ opinions as well on the field of its interpretation as on the reasons for its existence and on the methods of its future application. The possible reason for this could be that the legislator didn’t give examples for the frames of the extent of the instruments. At this point we cannot foresee how the interpretation will take place in practice, what will be the advantages and disadvantages. Only after several decisions of the Constitutional Court can evolve a more or less specified definition of the achievements (Decision of the Constitutional Court nr. 33/2012.AB). Besides the courts also can rely on the achievements in the jurisdiction so they can be filled with content by this practice as well.</w:t>
      </w:r>
    </w:p>
    <w:p>
      <w:pPr>
        <w:pBdr/>
        <w:spacing w:before="240" w:after="240" w:line="240" w:lineRule="auto"/>
        <w:ind w:left="0" w:right="0"/>
        <w:jc w:val="left"/>
      </w:pPr>
      <w:r>
        <w:rPr>
          <w:color w:val="000000"/>
          <w:sz w:val="24"/>
          <w:szCs w:val="24"/>
        </w:rPr>
        <w:t xml:space="preserve">This new institution introduced by the legislator is very important, although quite unusual, so the “achievements of the historical constitution” should be used during the application of law as an auxiliary solution so it can be formed in practice to define which institution, norm, custom should be considered as its content to help the jurisprudence.</w:t>
      </w:r>
    </w:p>
    <w:p>
      <w:pPr>
        <w:pBdr/>
        <w:spacing w:before="240" w:after="240" w:line="240" w:lineRule="auto"/>
        <w:ind w:left="0" w:right="0"/>
        <w:jc w:val="left"/>
      </w:pPr>
      <w:r>
        <w:rPr>
          <w:color w:val="000000"/>
          <w:sz w:val="24"/>
          <w:szCs w:val="24"/>
        </w:rPr>
        <w:t xml:space="preserve">Those achievements that can be implemented to our legal system can promote and modernize and so increase the quality of the application of law. The possibility is here the jurisdiction has to take advantage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63435">
    <w:multiLevelType w:val="hybridMultilevel"/>
    <w:lvl w:ilvl="0" w:tplc="48669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63435">
    <w:abstractNumId w:val="12063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307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