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POHL</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Móré</w:t>
            </w:r>
          </w:p>
          <w:p w:rsidR="00DB4822" w:rsidRDefault="00DB4822" w:rsidP="00E11062">
            <w:pPr>
              <w:pStyle w:val="Konzulensek"/>
            </w:pPr>
            <w:r w:rsidRPr="00DB4822">
              <w:t>professor’s assistant, KRE ÁJK</w:t>
            </w:r>
          </w:p>
        </w:tc>
      </w:tr>
      <w:tr w:rsidR="00DB4822" w:rsidTr="00DB4822">
        <w:tc>
          <w:tcPr>
            <w:tcW w:w="9854" w:type="dxa"/>
          </w:tcPr>
          <w:p w:rsidR="00DB4822" w:rsidRPr="00DB4822" w:rsidRDefault="00DB4822" w:rsidP="004D7940">
            <w:pPr>
              <w:pStyle w:val="Konzulensek"/>
            </w:pPr>
            <w:r w:rsidRPr="00DB4822">
              <w:t>Prof. Dr. Béla Blaskó</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p>
    <w:p w:rsidR="00D71DF5" w:rsidRDefault="00D71DF5" w:rsidP="00AD2602">
      <w:pPr>
        <w:jc w:val="both"/>
      </w:pPr>
    </w:p>
    <w:p>
      <w:pPr>
        <w:pBdr/>
        <w:spacing w:before="240" w:after="240" w:line="240" w:lineRule="auto"/>
        <w:ind w:left="0" w:right="0"/>
        <w:jc w:val="left"/>
      </w:pPr>
      <w:r>
        <w:rPr>
          <w:color w:val="000000"/>
          <w:sz w:val="24"/>
          <w:szCs w:val="24"/>
        </w:rPr>
        <w:t xml:space="preserve">At the time of choosing the topic for my paper I aimed at doing research in the field of constitutional law, a sphere which may be interesting also for people who are not legal experts. The actuality of the examined ground for preclusion of criminal responsibility results, on the one hand, from the increased number of illegal violent acts against person and property, the new criminal policy goal which was formed upon public pressure, according to which the possibilities of persons in justified defence situation shall be broadened, and, on the other hand from the re-regulation of the justified defence in act C of 2012.</w:t>
      </w:r>
      <w:r>
        <w:rPr>
          <w:color w:val="000000"/>
          <w:sz w:val="24"/>
          <w:szCs w:val="24"/>
        </w:rPr>
        <w:br/>
        <w:t xml:space="preserve">The aim of my paper, on the one hand is the examination of dilemmas emerging with regard to justified defence, and, on the other hand I set as goal the description of the way, the draft laws which led to the approval of act C of 2012, to describe from constitutional law aspects how the institution of justified defence arrived to the text contained in the new Penal Code.</w:t>
      </w:r>
      <w:r>
        <w:rPr>
          <w:color w:val="000000"/>
          <w:sz w:val="24"/>
          <w:szCs w:val="24"/>
        </w:rPr>
        <w:br/>
        <w:t xml:space="preserve">Regarding the literature used for the paper I mainly used critical resource analysis. Finally I summarise the main issues of my research.</w:t>
      </w:r>
      <w:r>
        <w:rPr>
          <w:color w:val="000000"/>
          <w:sz w:val="24"/>
          <w:szCs w:val="24"/>
        </w:rPr>
        <w:br/>
        <w:t xml:space="preserve">With regard to the appearance of justified defence in the Fundamental Law it may be stated that the regulations of the Penal Code have not changed, this is an institution protecting fundamental rights, therefore the mentioning of justified defence as fundamental right is not reasonable.</w:t>
      </w:r>
      <w:r>
        <w:rPr>
          <w:color w:val="000000"/>
          <w:sz w:val="24"/>
          <w:szCs w:val="24"/>
        </w:rPr>
        <w:br/>
        <w:t xml:space="preserve">It would strengthen legal certainty and the objective institution protection obligation of the state if the legislator widened the scope of subjects protected by justified defence. It would be advisable to include the list of protected legal subjects the protection of own or others’ rights.</w:t>
      </w:r>
      <w:r>
        <w:rPr>
          <w:color w:val="000000"/>
          <w:sz w:val="24"/>
          <w:szCs w:val="24"/>
        </w:rPr>
        <w:br/>
        <w:t xml:space="preserve">During the examination of article 2 of the ECHR I explained that the given international obligation may only directly affect the national regulation of justified defence, because the Convention was established to solve problems between the state and private persons, not conflicts emerging between private people.</w:t>
      </w:r>
      <w:r>
        <w:rPr>
          <w:color w:val="000000"/>
          <w:sz w:val="24"/>
          <w:szCs w:val="24"/>
        </w:rPr>
        <w:br/>
        <w:t xml:space="preserve">Finally, as limit of justified defence I indicated the termination of the existing violation of a fundamental right. In this approach the requirement of proportionality is replaced by a finely tuned excess, which indicates as limit the purpose of preventing the illegal attack.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333589">
    <w:multiLevelType w:val="hybridMultilevel"/>
    <w:lvl w:ilvl="0" w:tplc="70360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333589">
    <w:abstractNumId w:val="523335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80977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