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POHL ÁKOS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Móré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KRE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Blaskó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 mb. oktató,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Jogos-e a jogos védelem? A jogos védelem vizsgálata alapjogi szempontból, különös tekintettel az új Btk. tervezetére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tárgyát képező kérdéskör kiválasztásánál szem előtt tartottam, hogy az alkotmányjog területén, egy a jogban nem jártas ember számára is érdekfeszítő témában vizsgálódjak. A vizsgált büntethetőségi akadály aktualitása ered, egyfelől a személy és a tulajdon ellen irányuló erőszakos jogtalan támadások megnövekedett számára tekintettel, a társadalom nyomására kialakult kriminálpolitikai célkitűzésből, mely szerint a jogos védelmi helyzetbe került személy lehetőségeinek körét szélesíteni kell, másfelől a jogos védelem 2012. évi C. törvényben történt újraszabályozásából.</w:t>
      </w:r>
      <w:r>
        <w:rPr>
          <w:color w:val="000000"/>
          <w:sz w:val="24"/>
          <w:szCs w:val="24"/>
        </w:rPr>
        <w:br/>
        <w:t xml:space="preserve">Munkám célkitűzése egyrészt, az általam megismert és a jogos védelemmel kapcsolatban felmerülő alkotmányjogi dilemmák vizsgálata, másrészt célomként jelölhető meg a 2012. évi C. törvényhez vezető törvénytervezeteken keresztül bemutatni, hogyan jutott el alkotmányjogi szempontból a jogos védelem intézménye az új Btk-ban helyet kapó normaszövegig.</w:t>
      </w:r>
      <w:r>
        <w:rPr>
          <w:color w:val="000000"/>
          <w:sz w:val="24"/>
          <w:szCs w:val="24"/>
        </w:rPr>
        <w:br/>
        <w:t xml:space="preserve">A dolgozathoz felhasznált szakirodalom relevanciájában, leginkább kritikai forráselemzés módszerét alkalmaztam.</w:t>
      </w:r>
      <w:r>
        <w:rPr>
          <w:color w:val="000000"/>
          <w:sz w:val="24"/>
          <w:szCs w:val="24"/>
        </w:rPr>
        <w:br/>
        <w:t xml:space="preserve">Végül, vizsgálódásom főbb tárgyköreit összegzem.</w:t>
      </w:r>
      <w:r>
        <w:rPr>
          <w:color w:val="000000"/>
          <w:sz w:val="24"/>
          <w:szCs w:val="24"/>
        </w:rPr>
        <w:br/>
        <w:t xml:space="preserve">A jogos védelem Alaptörvényben való megjelenése kapcsán megállapítható, hogy a Btk-ban megjelenő szabályozás nem változott és eredendően egy alapjogokat garantáló jogintézményről van szó, ez esetben a jogos védelem alapjogként való említése elvetendő.</w:t>
      </w:r>
      <w:r>
        <w:rPr>
          <w:color w:val="000000"/>
          <w:sz w:val="24"/>
          <w:szCs w:val="24"/>
        </w:rPr>
        <w:br/>
        <w:t xml:space="preserve">A jogbiztonság erősítését szolgálná, valamint az állam objektív intézményvédelmi kötelezettségét erősíteni, ha a jogos védelem által védett jogi tárgyak körét kiszélesíteni a jogalkotó. A jelenleg védett jogi tárgyak listájába üdvözlendő lenne felvenni a saját, illetőleg más jogainak védelmét.</w:t>
      </w:r>
      <w:r>
        <w:rPr>
          <w:color w:val="000000"/>
          <w:sz w:val="24"/>
          <w:szCs w:val="24"/>
        </w:rPr>
        <w:br/>
        <w:t xml:space="preserve">Az EEJE 2. cikkének vizsgálata során kifejtettem, hogy az adott nemzetközi kötelezettség csupán közvetlenül lehet hatással a jogos védelem hazai szabályozására, hiszen az Egyezmény, az állam és a magánfelek között létrejövő nézeteltérések és nem a magánfelek egymás közötti konfliktusainak feloldására jött létre.</w:t>
      </w:r>
      <w:r>
        <w:rPr>
          <w:color w:val="000000"/>
          <w:sz w:val="24"/>
          <w:szCs w:val="24"/>
        </w:rPr>
        <w:br/>
        <w:t xml:space="preserve">Végül a jogos védelem határaként a fennálló alapjogsérelem megszűntét jelöltem meg. Ebben az esetben az arányosság helyébe egy finomított túllépés kerül, mely fogalom határkőként, a jogtalan támadás elhárításának célját nevezi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829997">
    <w:multiLevelType w:val="hybridMultilevel"/>
    <w:lvl w:ilvl="0" w:tplc="112135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829997">
    <w:abstractNumId w:val="158299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4883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